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A4F15">
      <w:pPr>
        <w:widowControl/>
        <w:spacing w:before="1404" w:beforeLines="450" w:after="312" w:afterLines="100"/>
        <w:jc w:val="center"/>
        <w:rPr>
          <w:rFonts w:hint="eastAsia" w:ascii="黑体" w:hAnsi="黑体" w:eastAsia="黑体" w:cs="宋体"/>
          <w:b/>
          <w:bCs/>
          <w:sz w:val="52"/>
          <w:szCs w:val="36"/>
          <w:lang w:eastAsia="zh-CN"/>
        </w:rPr>
      </w:pPr>
      <w:r>
        <w:rPr>
          <w:rFonts w:hint="eastAsia" w:ascii="黑体" w:hAnsi="黑体" w:eastAsia="黑体" w:cs="宋体"/>
          <w:b/>
          <w:bCs/>
          <w:sz w:val="52"/>
          <w:szCs w:val="36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78105</wp:posOffset>
            </wp:positionV>
            <wp:extent cx="5516880" cy="3029585"/>
            <wp:effectExtent l="0" t="0" r="0" b="3175"/>
            <wp:wrapNone/>
            <wp:docPr id="1" name="图片 1" descr="微信图片_20250612084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5061208475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16880" cy="3029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047FC2">
      <w:pPr>
        <w:widowControl/>
        <w:spacing w:before="1404" w:beforeLines="450" w:after="312" w:afterLines="100"/>
        <w:jc w:val="center"/>
        <w:rPr>
          <w:rFonts w:ascii="黑体" w:hAnsi="黑体" w:eastAsia="黑体" w:cs="宋体"/>
          <w:b/>
          <w:bCs/>
          <w:sz w:val="52"/>
          <w:szCs w:val="36"/>
        </w:rPr>
      </w:pPr>
      <w:r>
        <w:rPr>
          <w:rFonts w:hint="eastAsia" w:ascii="黑体" w:hAnsi="黑体" w:eastAsia="黑体" w:cs="宋体"/>
          <w:b/>
          <w:bCs/>
          <w:sz w:val="52"/>
          <w:szCs w:val="36"/>
          <w:lang w:val="en-US" w:eastAsia="zh-CN"/>
        </w:rPr>
        <w:t>XXXX</w:t>
      </w:r>
      <w:r>
        <w:rPr>
          <w:rFonts w:hint="eastAsia" w:ascii="黑体" w:hAnsi="黑体" w:eastAsia="黑体" w:cs="宋体"/>
          <w:b/>
          <w:bCs/>
          <w:sz w:val="52"/>
          <w:szCs w:val="36"/>
        </w:rPr>
        <w:t>专业</w:t>
      </w:r>
    </w:p>
    <w:p w14:paraId="4357C8D1">
      <w:pPr>
        <w:widowControl/>
        <w:spacing w:before="156" w:beforeLines="50" w:after="156" w:afterLines="50"/>
        <w:jc w:val="center"/>
        <w:rPr>
          <w:rFonts w:hint="eastAsia" w:ascii="黑体" w:hAnsi="黑体" w:eastAsia="黑体" w:cs="宋体"/>
          <w:b/>
          <w:bCs/>
          <w:sz w:val="56"/>
          <w:szCs w:val="90"/>
        </w:rPr>
      </w:pPr>
    </w:p>
    <w:p w14:paraId="72E91AC1">
      <w:pPr>
        <w:widowControl/>
        <w:spacing w:before="156" w:beforeLines="50" w:after="156" w:afterLines="50"/>
        <w:jc w:val="center"/>
        <w:rPr>
          <w:rFonts w:hint="eastAsia" w:ascii="黑体" w:hAnsi="黑体" w:eastAsia="黑体" w:cs="宋体"/>
          <w:b/>
          <w:bCs/>
          <w:sz w:val="52"/>
          <w:szCs w:val="36"/>
          <w:lang w:val="en-US" w:eastAsia="zh-CN"/>
        </w:rPr>
      </w:pPr>
    </w:p>
    <w:p w14:paraId="42607E06">
      <w:pPr>
        <w:widowControl/>
        <w:spacing w:before="156" w:beforeLines="50" w:after="156" w:afterLines="50"/>
        <w:jc w:val="center"/>
        <w:rPr>
          <w:rFonts w:hint="eastAsia" w:ascii="黑体" w:hAnsi="黑体" w:eastAsia="黑体" w:cs="宋体"/>
          <w:b/>
          <w:bCs/>
          <w:sz w:val="56"/>
          <w:szCs w:val="90"/>
        </w:rPr>
      </w:pPr>
      <w:r>
        <w:rPr>
          <w:rFonts w:hint="eastAsia" w:ascii="黑体" w:hAnsi="黑体" w:eastAsia="黑体" w:cs="宋体"/>
          <w:b/>
          <w:bCs/>
          <w:sz w:val="52"/>
          <w:szCs w:val="36"/>
          <w:lang w:val="en-US" w:eastAsia="zh-CN"/>
        </w:rPr>
        <w:t>软件技术</w:t>
      </w:r>
      <w:r>
        <w:rPr>
          <w:rFonts w:hint="eastAsia" w:ascii="黑体" w:hAnsi="黑体" w:eastAsia="黑体" w:cs="宋体"/>
          <w:b/>
          <w:bCs/>
          <w:sz w:val="52"/>
          <w:szCs w:val="36"/>
        </w:rPr>
        <w:t>专业</w:t>
      </w:r>
    </w:p>
    <w:p w14:paraId="0B8059B2">
      <w:pPr>
        <w:widowControl/>
        <w:spacing w:before="156" w:beforeLines="50" w:after="156" w:afterLines="50"/>
        <w:jc w:val="center"/>
        <w:rPr>
          <w:rFonts w:ascii="黑体" w:hAnsi="黑体" w:eastAsia="黑体" w:cs="宋体"/>
          <w:b/>
          <w:bCs/>
          <w:sz w:val="56"/>
          <w:szCs w:val="90"/>
        </w:rPr>
      </w:pPr>
      <w:r>
        <w:rPr>
          <w:rFonts w:hint="eastAsia" w:ascii="黑体" w:hAnsi="黑体" w:eastAsia="黑体" w:cs="宋体"/>
          <w:b/>
          <w:bCs/>
          <w:sz w:val="56"/>
          <w:szCs w:val="90"/>
        </w:rPr>
        <w:t>人才培养方案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3429"/>
      </w:tblGrid>
      <w:tr w14:paraId="739F3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930" w:type="dxa"/>
            <w:vAlign w:val="bottom"/>
          </w:tcPr>
          <w:p w14:paraId="6E9AEB4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/>
                <w:bCs/>
                <w:sz w:val="28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sz w:val="28"/>
                <w:szCs w:val="24"/>
              </w:rPr>
              <w:t>二级</w:t>
            </w:r>
            <w:r>
              <w:rPr>
                <w:rFonts w:hint="eastAsia" w:ascii="黑体" w:hAnsi="黑体" w:eastAsia="黑体" w:cs="宋体"/>
                <w:b/>
                <w:bCs/>
                <w:sz w:val="28"/>
                <w:szCs w:val="24"/>
                <w:lang w:eastAsia="zh-CN"/>
              </w:rPr>
              <w:t>教学单位</w:t>
            </w:r>
            <w:r>
              <w:rPr>
                <w:rFonts w:hint="eastAsia" w:ascii="黑体" w:hAnsi="黑体" w:eastAsia="黑体" w:cs="宋体"/>
                <w:b/>
                <w:bCs/>
                <w:sz w:val="28"/>
                <w:szCs w:val="24"/>
              </w:rPr>
              <w:t>：</w:t>
            </w:r>
          </w:p>
        </w:tc>
        <w:tc>
          <w:tcPr>
            <w:tcW w:w="3429" w:type="dxa"/>
            <w:vAlign w:val="bottom"/>
          </w:tcPr>
          <w:p w14:paraId="4B31FC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信息工程学院</w:t>
            </w:r>
          </w:p>
        </w:tc>
      </w:tr>
      <w:tr w14:paraId="1FE62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930" w:type="dxa"/>
            <w:vAlign w:val="bottom"/>
          </w:tcPr>
          <w:p w14:paraId="1F24909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/>
                <w:bCs/>
                <w:sz w:val="28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sz w:val="28"/>
                <w:szCs w:val="24"/>
              </w:rPr>
              <w:t>执笔人：</w:t>
            </w:r>
          </w:p>
        </w:tc>
        <w:tc>
          <w:tcPr>
            <w:tcW w:w="3429" w:type="dxa"/>
            <w:vAlign w:val="bottom"/>
          </w:tcPr>
          <w:p w14:paraId="336867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4"/>
                <w:szCs w:val="24"/>
                <w:lang w:val="en-US" w:eastAsia="zh-CN"/>
              </w:rPr>
              <w:t>马婷婷</w:t>
            </w:r>
          </w:p>
        </w:tc>
      </w:tr>
      <w:tr w14:paraId="46CA5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930" w:type="dxa"/>
            <w:vAlign w:val="bottom"/>
          </w:tcPr>
          <w:p w14:paraId="13B0252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/>
                <w:bCs/>
                <w:sz w:val="28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sz w:val="28"/>
                <w:szCs w:val="24"/>
              </w:rPr>
              <w:t>审核人：</w:t>
            </w:r>
          </w:p>
        </w:tc>
        <w:tc>
          <w:tcPr>
            <w:tcW w:w="3429" w:type="dxa"/>
            <w:vAlign w:val="bottom"/>
          </w:tcPr>
          <w:p w14:paraId="209AD3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仿宋_GB2312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李传福</w:t>
            </w:r>
          </w:p>
        </w:tc>
      </w:tr>
      <w:tr w14:paraId="0360E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2930" w:type="dxa"/>
            <w:vAlign w:val="bottom"/>
          </w:tcPr>
          <w:p w14:paraId="3AEECF3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 w:cs="宋体"/>
                <w:b/>
                <w:bCs/>
                <w:sz w:val="28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sz w:val="28"/>
                <w:szCs w:val="24"/>
              </w:rPr>
              <w:t>修订日期：</w:t>
            </w:r>
          </w:p>
        </w:tc>
        <w:tc>
          <w:tcPr>
            <w:tcW w:w="3429" w:type="dxa"/>
            <w:vAlign w:val="bottom"/>
          </w:tcPr>
          <w:p w14:paraId="713D3B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月</w:t>
            </w:r>
          </w:p>
        </w:tc>
      </w:tr>
    </w:tbl>
    <w:p w14:paraId="459401F0">
      <w:pPr>
        <w:widowControl/>
        <w:spacing w:before="156" w:beforeLines="50"/>
        <w:jc w:val="center"/>
        <w:rPr>
          <w:rFonts w:hint="default" w:ascii="宋体" w:hAnsi="宋体" w:eastAsia="仿宋_GB2312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36"/>
          <w:lang w:val="en-US" w:eastAsia="zh-CN"/>
        </w:rPr>
        <w:t>合肥滨湖</w:t>
      </w:r>
      <w:r>
        <w:rPr>
          <w:rFonts w:hint="eastAsia" w:ascii="宋体" w:hAnsi="宋体" w:cs="宋体"/>
          <w:b/>
          <w:bCs/>
          <w:sz w:val="28"/>
          <w:szCs w:val="36"/>
          <w:lang w:eastAsia="zh-CN"/>
        </w:rPr>
        <w:t>职业</w:t>
      </w:r>
      <w:r>
        <w:rPr>
          <w:rFonts w:hint="eastAsia" w:ascii="宋体" w:hAnsi="宋体" w:cs="宋体"/>
          <w:b/>
          <w:bCs/>
          <w:sz w:val="28"/>
          <w:szCs w:val="36"/>
          <w:lang w:val="en-US" w:eastAsia="zh-CN"/>
        </w:rPr>
        <w:t>技术</w:t>
      </w:r>
      <w:r>
        <w:rPr>
          <w:rFonts w:hint="eastAsia" w:ascii="宋体" w:hAnsi="宋体" w:cs="宋体"/>
          <w:b/>
          <w:bCs/>
          <w:sz w:val="28"/>
          <w:szCs w:val="36"/>
        </w:rPr>
        <w:t>学院教务处制</w:t>
      </w:r>
    </w:p>
    <w:p w14:paraId="6E9BDCB2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jc w:val="center"/>
        <w:outlineLvl w:val="9"/>
        <w:rPr>
          <w:rFonts w:hint="eastAsia" w:ascii="宋体" w:hAnsi="宋体" w:cs="宋体"/>
          <w:b/>
          <w:bCs/>
          <w:sz w:val="28"/>
          <w:szCs w:val="36"/>
        </w:rPr>
      </w:pPr>
      <w:r>
        <w:rPr>
          <w:rFonts w:hint="eastAsia" w:ascii="宋体" w:hAnsi="宋体" w:cs="宋体"/>
          <w:b/>
          <w:bCs/>
          <w:sz w:val="28"/>
          <w:szCs w:val="36"/>
        </w:rPr>
        <w:t>二〇二</w:t>
      </w:r>
      <w:r>
        <w:rPr>
          <w:rFonts w:hint="eastAsia" w:ascii="宋体" w:hAnsi="宋体" w:cs="宋体"/>
          <w:b/>
          <w:bCs/>
          <w:sz w:val="28"/>
          <w:szCs w:val="36"/>
          <w:lang w:eastAsia="zh-CN"/>
        </w:rPr>
        <w:t>五</w:t>
      </w:r>
      <w:r>
        <w:rPr>
          <w:rFonts w:hint="eastAsia" w:ascii="宋体" w:hAnsi="宋体" w:cs="宋体"/>
          <w:b/>
          <w:bCs/>
          <w:sz w:val="28"/>
          <w:szCs w:val="36"/>
        </w:rPr>
        <w:t>年</w:t>
      </w:r>
      <w:r>
        <w:rPr>
          <w:rFonts w:hint="eastAsia" w:ascii="宋体" w:hAnsi="宋体" w:cs="宋体"/>
          <w:b/>
          <w:bCs/>
          <w:sz w:val="28"/>
          <w:szCs w:val="36"/>
          <w:lang w:val="en-US" w:eastAsia="zh-CN"/>
        </w:rPr>
        <w:t>六</w:t>
      </w:r>
      <w:r>
        <w:rPr>
          <w:rFonts w:hint="eastAsia" w:ascii="宋体" w:hAnsi="宋体" w:cs="宋体"/>
          <w:b/>
          <w:bCs/>
          <w:sz w:val="28"/>
          <w:szCs w:val="36"/>
        </w:rPr>
        <w:t>月</w:t>
      </w:r>
    </w:p>
    <w:p w14:paraId="5D4C4CDF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jc w:val="center"/>
        <w:outlineLvl w:val="9"/>
        <w:rPr>
          <w:rFonts w:hint="eastAsia" w:ascii="宋体" w:hAnsi="宋体" w:cs="宋体"/>
          <w:b/>
          <w:bCs/>
          <w:sz w:val="28"/>
          <w:szCs w:val="36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269BCC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after="313" w:afterLines="100"/>
        <w:jc w:val="center"/>
        <w:textAlignment w:val="auto"/>
        <w:outlineLvl w:val="9"/>
        <w:rPr>
          <w:rFonts w:hint="default" w:eastAsia="方正公文小标宋"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软件技术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专业人才培养方案</w:t>
      </w:r>
    </w:p>
    <w:p w14:paraId="4763C50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Times New Roman" w:hAnsi="Times New Roman" w:eastAsia="黑体" w:cs="Times New Roman"/>
          <w:b w:val="0"/>
          <w:bCs w:val="0"/>
          <w:szCs w:val="32"/>
          <w:lang w:eastAsia="zh-CN"/>
        </w:rPr>
      </w:pPr>
      <w:bookmarkStart w:id="0" w:name="_Toc22139"/>
      <w:r>
        <w:rPr>
          <w:rFonts w:hint="eastAsia" w:ascii="Times New Roman" w:hAnsi="Times New Roman" w:eastAsia="黑体" w:cs="Times New Roman"/>
          <w:b w:val="0"/>
          <w:bCs w:val="0"/>
          <w:szCs w:val="32"/>
          <w:lang w:eastAsia="zh-CN"/>
        </w:rPr>
        <w:t>一、专业名称及代码</w:t>
      </w:r>
      <w:bookmarkEnd w:id="0"/>
    </w:p>
    <w:p w14:paraId="3FCF786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textAlignment w:val="auto"/>
        <w:outlineLvl w:val="9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</w:rPr>
        <w:t>专业名称：</w:t>
      </w:r>
      <w:r>
        <w:rPr>
          <w:rFonts w:hint="eastAsia" w:ascii="仿宋_GB2312"/>
          <w:sz w:val="32"/>
          <w:szCs w:val="32"/>
          <w:lang w:val="en-US" w:eastAsia="zh-CN"/>
        </w:rPr>
        <w:t>软件技术</w:t>
      </w:r>
    </w:p>
    <w:p w14:paraId="6A20423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</w:rPr>
        <w:t>专业代码：510203</w:t>
      </w:r>
    </w:p>
    <w:p w14:paraId="4DB2E7B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Times New Roman" w:hAnsi="Times New Roman" w:eastAsia="黑体" w:cs="Times New Roman"/>
          <w:szCs w:val="32"/>
          <w:lang w:eastAsia="zh-CN"/>
        </w:rPr>
      </w:pPr>
      <w:bookmarkStart w:id="1" w:name="_Toc18931"/>
      <w:r>
        <w:rPr>
          <w:rFonts w:hint="eastAsia" w:ascii="Times New Roman" w:hAnsi="Times New Roman" w:eastAsia="黑体" w:cs="Times New Roman"/>
          <w:szCs w:val="32"/>
          <w:lang w:eastAsia="zh-CN"/>
        </w:rPr>
        <w:t>二、入学要求</w:t>
      </w:r>
      <w:bookmarkEnd w:id="1"/>
    </w:p>
    <w:p w14:paraId="06A246D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中等职业学校毕业、普通高级中学毕业或具备同等学力</w:t>
      </w:r>
    </w:p>
    <w:p w14:paraId="0815A66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Times New Roman" w:hAnsi="Times New Roman" w:eastAsia="黑体" w:cs="Times New Roman"/>
          <w:szCs w:val="32"/>
          <w:lang w:eastAsia="zh-CN"/>
        </w:rPr>
      </w:pPr>
      <w:bookmarkStart w:id="2" w:name="_Toc2021"/>
      <w:r>
        <w:rPr>
          <w:rFonts w:hint="eastAsia" w:ascii="Times New Roman" w:hAnsi="Times New Roman" w:eastAsia="黑体" w:cs="Times New Roman"/>
          <w:szCs w:val="32"/>
          <w:lang w:eastAsia="zh-CN"/>
        </w:rPr>
        <w:t>三、修业年限</w:t>
      </w:r>
      <w:bookmarkEnd w:id="2"/>
    </w:p>
    <w:p w14:paraId="26EF188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三年</w:t>
      </w:r>
    </w:p>
    <w:p w14:paraId="608D4C4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Times New Roman" w:hAnsi="Times New Roman" w:eastAsia="黑体" w:cs="Times New Roman"/>
          <w:szCs w:val="32"/>
          <w:lang w:eastAsia="zh-CN"/>
        </w:rPr>
      </w:pPr>
      <w:bookmarkStart w:id="3" w:name="_Toc13228"/>
      <w:r>
        <w:rPr>
          <w:rFonts w:hint="eastAsia" w:ascii="Times New Roman" w:hAnsi="Times New Roman" w:eastAsia="黑体" w:cs="Times New Roman"/>
          <w:szCs w:val="32"/>
          <w:lang w:eastAsia="zh-CN"/>
        </w:rPr>
        <w:t>四、职业面向</w:t>
      </w:r>
      <w:bookmarkEnd w:id="3"/>
    </w:p>
    <w:p w14:paraId="0109FB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</w:rPr>
      </w:pPr>
      <w:bookmarkStart w:id="4" w:name="_Toc13171"/>
      <w:r>
        <w:rPr>
          <w:rFonts w:hint="eastAsia" w:ascii="楷体_GB2312" w:hAnsi="楷体_GB2312" w:eastAsia="楷体_GB2312" w:cs="楷体_GB2312"/>
          <w:b/>
          <w:bCs/>
        </w:rPr>
        <w:t>（一）职业面向</w:t>
      </w:r>
      <w:bookmarkEnd w:id="4"/>
    </w:p>
    <w:p w14:paraId="46C95BC2">
      <w:pPr>
        <w:spacing w:line="400" w:lineRule="exact"/>
        <w:ind w:firstLine="0" w:firstLineChars="0"/>
        <w:jc w:val="center"/>
        <w:rPr>
          <w:rFonts w:hint="default" w:ascii="仿宋" w:hAnsi="仿宋" w:eastAsia="仿宋" w:cs="仿宋"/>
          <w:b/>
          <w:szCs w:val="21"/>
          <w:shd w:val="clear"/>
          <w:lang w:val="en-US" w:eastAsia="zh-CN"/>
        </w:rPr>
      </w:pPr>
      <w:r>
        <w:rPr>
          <w:rFonts w:hint="eastAsia" w:ascii="仿宋" w:hAnsi="仿宋" w:eastAsia="仿宋" w:cs="仿宋"/>
          <w:b/>
          <w:szCs w:val="21"/>
        </w:rPr>
        <w:t>表</w:t>
      </w:r>
      <w:r>
        <w:rPr>
          <w:rFonts w:hint="eastAsia" w:ascii="仿宋" w:hAnsi="仿宋" w:eastAsia="仿宋" w:cs="仿宋"/>
          <w:b/>
          <w:szCs w:val="21"/>
          <w:lang w:val="en-US" w:eastAsia="zh-CN"/>
        </w:rPr>
        <w:t>1</w:t>
      </w:r>
      <w:r>
        <w:rPr>
          <w:rFonts w:hint="eastAsia" w:ascii="仿宋" w:hAnsi="仿宋" w:eastAsia="仿宋" w:cs="仿宋"/>
          <w:b/>
          <w:szCs w:val="21"/>
        </w:rPr>
        <w:t>职业面向</w:t>
      </w:r>
    </w:p>
    <w:tbl>
      <w:tblPr>
        <w:tblStyle w:val="14"/>
        <w:tblpPr w:leftFromText="180" w:rightFromText="180" w:vertAnchor="text" w:horzAnchor="margin" w:tblpXSpec="center" w:tblpY="67"/>
        <w:tblW w:w="970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1138"/>
        <w:gridCol w:w="1906"/>
        <w:gridCol w:w="1622"/>
        <w:gridCol w:w="1721"/>
        <w:gridCol w:w="2243"/>
      </w:tblGrid>
      <w:tr w14:paraId="40E035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exact"/>
        </w:trPr>
        <w:tc>
          <w:tcPr>
            <w:tcW w:w="1073" w:type="dxa"/>
            <w:vAlign w:val="center"/>
          </w:tcPr>
          <w:p w14:paraId="35D1F7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所属专业大类</w:t>
            </w:r>
          </w:p>
          <w:p w14:paraId="53050B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（代码）</w:t>
            </w:r>
          </w:p>
        </w:tc>
        <w:tc>
          <w:tcPr>
            <w:tcW w:w="1138" w:type="dxa"/>
            <w:vAlign w:val="center"/>
          </w:tcPr>
          <w:p w14:paraId="038BEC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所属专业类（代码）</w:t>
            </w:r>
          </w:p>
        </w:tc>
        <w:tc>
          <w:tcPr>
            <w:tcW w:w="1906" w:type="dxa"/>
            <w:vAlign w:val="center"/>
          </w:tcPr>
          <w:p w14:paraId="29FC31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对应行业</w:t>
            </w:r>
          </w:p>
          <w:p w14:paraId="4AF1CD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（代码）</w:t>
            </w:r>
          </w:p>
        </w:tc>
        <w:tc>
          <w:tcPr>
            <w:tcW w:w="1622" w:type="dxa"/>
            <w:vAlign w:val="center"/>
          </w:tcPr>
          <w:p w14:paraId="3966BB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主要职业类别</w:t>
            </w:r>
          </w:p>
          <w:p w14:paraId="35261A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（代码）</w:t>
            </w:r>
          </w:p>
        </w:tc>
        <w:tc>
          <w:tcPr>
            <w:tcW w:w="1721" w:type="dxa"/>
            <w:vAlign w:val="center"/>
          </w:tcPr>
          <w:p w14:paraId="11D9A3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主要岗位类别（或技术领域）</w:t>
            </w:r>
          </w:p>
        </w:tc>
        <w:tc>
          <w:tcPr>
            <w:tcW w:w="2243" w:type="dxa"/>
            <w:vAlign w:val="center"/>
          </w:tcPr>
          <w:p w14:paraId="6559CB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职业资格证书或技能等级证书举例</w:t>
            </w:r>
          </w:p>
        </w:tc>
      </w:tr>
      <w:tr w14:paraId="3460F8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7" w:hRule="exact"/>
        </w:trPr>
        <w:tc>
          <w:tcPr>
            <w:tcW w:w="1073" w:type="dxa"/>
            <w:shd w:val="clear" w:color="auto" w:fill="auto"/>
            <w:vAlign w:val="center"/>
          </w:tcPr>
          <w:p w14:paraId="7E9EC0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  <w:p w14:paraId="753716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Calibri" w:hAnsi="Calibri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(</w:t>
            </w: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51</w:t>
            </w:r>
            <w:r>
              <w:rPr>
                <w:rFonts w:hint="eastAsia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)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969AA1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计算机类</w:t>
            </w:r>
          </w:p>
          <w:p w14:paraId="1C87295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(</w:t>
            </w: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5102</w:t>
            </w:r>
            <w:r>
              <w:rPr>
                <w:rFonts w:hint="eastAsia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)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B55B1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软件和信息技术服务业</w:t>
            </w:r>
          </w:p>
          <w:p w14:paraId="558110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(</w:t>
            </w: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65</w:t>
            </w:r>
            <w:r>
              <w:rPr>
                <w:rFonts w:hint="eastAsia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)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227034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计算机程序设计员</w:t>
            </w: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S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（</w:t>
            </w: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4-04-05-01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）</w:t>
            </w:r>
          </w:p>
          <w:p w14:paraId="6A0509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计算机软件测试员</w:t>
            </w: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S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（</w:t>
            </w: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4-04-05-02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）</w:t>
            </w:r>
          </w:p>
          <w:p w14:paraId="09D3A1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计算机软件工程技术人员</w:t>
            </w: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S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（</w:t>
            </w: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2-02-10-03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）</w:t>
            </w:r>
          </w:p>
          <w:p w14:paraId="3D44FDF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Calibri" w:hAnsi="Calibri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信息系统运行维护工程技术人员</w:t>
            </w: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S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（</w:t>
            </w: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2-02-10-08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）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109D05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Calibri" w:hAnsi="Calibri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软件设计师</w:t>
            </w:r>
          </w:p>
        </w:tc>
        <w:tc>
          <w:tcPr>
            <w:tcW w:w="2243" w:type="dxa"/>
            <w:shd w:val="clear" w:color="auto" w:fill="auto"/>
            <w:vAlign w:val="center"/>
          </w:tcPr>
          <w:p w14:paraId="2D5AC89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eastAsia="宋体" w:cs="Times New Roman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hint="default" w:ascii="Calibri" w:hAnsi="Calibri" w:eastAsia="宋体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+</w:t>
            </w:r>
            <w:r>
              <w:rPr>
                <w:rFonts w:hint="default" w:ascii="Calibri" w:hAnsi="Calibri" w:eastAsia="宋体" w:cs="Calibri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X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职业技能等级证书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：</w:t>
            </w: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Web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应用软件测试职业技能等级证书；</w:t>
            </w:r>
            <w:r>
              <w:rPr>
                <w:rFonts w:hint="default" w:ascii="Calibri" w:hAnsi="Calibri" w:eastAsia="宋体" w:cs="Calibri"/>
                <w:kern w:val="0"/>
                <w:sz w:val="18"/>
                <w:szCs w:val="18"/>
                <w:lang w:val="en-US" w:eastAsia="zh-CN" w:bidi="ar"/>
              </w:rPr>
              <w:t>Web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前端开发职业技能等级证书</w:t>
            </w:r>
          </w:p>
          <w:p w14:paraId="10A9F9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Calibri" w:hAnsi="Calibri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职业资格证书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：计算机技术与软件专业技术资格（初级）程序员；计算机技术与软件专业技术资格（中级）软件设计师</w:t>
            </w:r>
          </w:p>
        </w:tc>
      </w:tr>
    </w:tbl>
    <w:p w14:paraId="0E487007">
      <w:pPr>
        <w:rPr>
          <w:rFonts w:hint="default" w:ascii="仿宋" w:hAnsi="仿宋" w:eastAsia="仿宋" w:cs="仿宋"/>
          <w:b/>
          <w:szCs w:val="21"/>
        </w:rPr>
      </w:pPr>
      <w:r>
        <w:rPr>
          <w:rFonts w:hint="default" w:ascii="仿宋" w:hAnsi="仿宋" w:eastAsia="仿宋" w:cs="仿宋"/>
          <w:b/>
          <w:szCs w:val="21"/>
        </w:rPr>
        <w:br w:type="page"/>
      </w:r>
    </w:p>
    <w:p w14:paraId="445ADCF0">
      <w:pPr>
        <w:spacing w:line="400" w:lineRule="exact"/>
        <w:ind w:firstLine="0" w:firstLineChars="0"/>
        <w:jc w:val="center"/>
        <w:rPr>
          <w:rFonts w:hint="default" w:ascii="仿宋" w:hAnsi="仿宋" w:eastAsia="仿宋" w:cs="仿宋"/>
          <w:b/>
          <w:szCs w:val="21"/>
        </w:rPr>
      </w:pPr>
      <w:r>
        <w:rPr>
          <w:rFonts w:hint="default" w:ascii="仿宋" w:hAnsi="仿宋" w:eastAsia="仿宋" w:cs="仿宋"/>
          <w:b/>
          <w:szCs w:val="21"/>
        </w:rPr>
        <w:t>表</w:t>
      </w:r>
      <w:r>
        <w:rPr>
          <w:rFonts w:hint="eastAsia" w:ascii="仿宋" w:hAnsi="仿宋" w:eastAsia="仿宋" w:cs="仿宋"/>
          <w:b/>
          <w:szCs w:val="21"/>
          <w:lang w:val="en-US" w:eastAsia="zh-CN"/>
        </w:rPr>
        <w:t>2</w:t>
      </w:r>
      <w:r>
        <w:rPr>
          <w:rFonts w:hint="default" w:ascii="仿宋" w:hAnsi="仿宋" w:eastAsia="仿宋" w:cs="仿宋"/>
          <w:b/>
          <w:szCs w:val="21"/>
        </w:rPr>
        <w:t>岗位能力分析表</w:t>
      </w:r>
    </w:p>
    <w:tbl>
      <w:tblPr>
        <w:tblStyle w:val="15"/>
        <w:tblW w:w="90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031"/>
        <w:gridCol w:w="2787"/>
        <w:gridCol w:w="1816"/>
      </w:tblGrid>
      <w:tr w14:paraId="6BA04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1AA910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kern w:val="0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岗位名称</w:t>
            </w:r>
          </w:p>
        </w:tc>
        <w:tc>
          <w:tcPr>
            <w:tcW w:w="3031" w:type="dxa"/>
            <w:shd w:val="clear" w:color="auto" w:fill="auto"/>
            <w:vAlign w:val="center"/>
          </w:tcPr>
          <w:p w14:paraId="568F33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kern w:val="0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  <w:lang w:val="en-US" w:eastAsia="zh-CN"/>
              </w:rPr>
              <w:t>典型工作任务</w:t>
            </w:r>
          </w:p>
        </w:tc>
        <w:tc>
          <w:tcPr>
            <w:tcW w:w="2787" w:type="dxa"/>
            <w:shd w:val="clear" w:color="auto" w:fill="auto"/>
            <w:vAlign w:val="center"/>
          </w:tcPr>
          <w:p w14:paraId="41290E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kern w:val="0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  <w:lang w:val="en-US" w:eastAsia="zh-CN"/>
              </w:rPr>
              <w:t>岗位能力要求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49788F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kern w:val="0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  <w:lang w:val="en-US" w:eastAsia="zh-CN"/>
              </w:rPr>
              <w:t>对应课程</w:t>
            </w:r>
          </w:p>
        </w:tc>
      </w:tr>
      <w:tr w14:paraId="1FA3F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7DA8D721">
            <w:pPr>
              <w:pStyle w:val="1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bookmarkStart w:id="5" w:name="OLE_LINK5"/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fldChar w:fldCharType="begin"/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instrText xml:space="preserve"> HYPERLINK "https://www.ruankao.org.cn/article/content/ksjs/02_15.html" \o "软件设计师" </w:instrTex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fldChar w:fldCharType="separate"/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软件设计师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fldChar w:fldCharType="end"/>
            </w:r>
            <w:bookmarkEnd w:id="5"/>
          </w:p>
        </w:tc>
        <w:tc>
          <w:tcPr>
            <w:tcW w:w="3031" w:type="dxa"/>
            <w:shd w:val="clear" w:color="auto" w:fill="auto"/>
            <w:vAlign w:val="center"/>
          </w:tcPr>
          <w:p w14:paraId="7173E4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1、软件设计需求分析：理解和分析软件设计需求，明确软件的功能和性能要求。根据需求进行系统架构设计，包括模块划分、接口设计等，确保系统的可扩展性和可维护性。</w:t>
            </w:r>
          </w:p>
          <w:p w14:paraId="58B91C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2、编码实现：根据设计文档，使用合适的编程语言和工具进行代码编写，实现软件功能。</w:t>
            </w:r>
          </w:p>
          <w:p w14:paraId="747513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3、编制需求规格说明书、概要设计文件、详细设计说明书等，记录设计思路和实现细节。及时更新和完善相关文档，确保文档的准确性和完整性。</w:t>
            </w:r>
          </w:p>
          <w:p w14:paraId="45BB10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4、对编写的代码进行单元测试，确保每个模块的功能正确。将各个模块集成在一起，进行系统级的测试，发现并修复问题。根据测试结果，对软件进行性能优化，提高系统的响应速度和稳定性。</w:t>
            </w:r>
          </w:p>
          <w:p w14:paraId="1EC5A4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5、关注行业动态，学习新的技术和方法，不断提升自己的技术水平。将新的技术和方法应用到实际项目中，提高开发效率和质量</w:t>
            </w:r>
          </w:p>
        </w:tc>
        <w:tc>
          <w:tcPr>
            <w:tcW w:w="2787" w:type="dxa"/>
            <w:shd w:val="clear" w:color="auto" w:fill="auto"/>
            <w:vAlign w:val="top"/>
          </w:tcPr>
          <w:p w14:paraId="646857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1、熟练掌握至少一种主流编程语言，如Java、C++、Python等，并了解其特性和应用场景。</w:t>
            </w:r>
          </w:p>
          <w:p w14:paraId="12B164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2、深入理解数据结构（如数组、链表、栈、队列、树、图等）和算法（如排序、查找、递归等），能够设计和优化高效的算法。</w:t>
            </w:r>
          </w:p>
          <w:p w14:paraId="6954AC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3、熟悉数据库的基本原理和操作，包括SQL语言、数据库设计、事务处理、索引优化等。</w:t>
            </w:r>
          </w:p>
          <w:p w14:paraId="462F2B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4、掌握面向对象设计原则和设计模式，具备系统架构设计能力，能够设计出可扩展、可维护的软件系统。</w:t>
            </w:r>
          </w:p>
          <w:p w14:paraId="6223D6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5、具备良好的沟通能力，理解需求并传达设计方案。具有团队合作精神，能够在团队中发挥积极作用，共同完成项目目标。具备较强的问题分析和解决能力，能够独立解决开发中遇到的技术难题。</w:t>
            </w:r>
          </w:p>
          <w:p w14:paraId="4AC8F9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6、具有快速学习新技术和新知识的能力，能够适应不断变化的行业需求</w:t>
            </w:r>
          </w:p>
        </w:tc>
        <w:tc>
          <w:tcPr>
            <w:tcW w:w="1816" w:type="dxa"/>
            <w:shd w:val="clear" w:color="auto" w:fill="auto"/>
            <w:vAlign w:val="top"/>
          </w:tcPr>
          <w:p w14:paraId="13CA01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《</w:t>
            </w:r>
            <w:r>
              <w:rPr>
                <w:rFonts w:hint="default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计算机组成原理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》</w:t>
            </w:r>
          </w:p>
          <w:p w14:paraId="55D165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《</w:t>
            </w:r>
            <w:r>
              <w:rPr>
                <w:rFonts w:hint="default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操作系统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》</w:t>
            </w:r>
          </w:p>
          <w:p w14:paraId="527732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《</w:t>
            </w:r>
            <w:r>
              <w:rPr>
                <w:rFonts w:hint="default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数据结构与算法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》</w:t>
            </w:r>
          </w:p>
          <w:p w14:paraId="25E760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《</w:t>
            </w:r>
            <w:r>
              <w:rPr>
                <w:rFonts w:hint="default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软件工程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》</w:t>
            </w:r>
          </w:p>
          <w:p w14:paraId="3ABDB4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《</w:t>
            </w:r>
            <w:r>
              <w:rPr>
                <w:rFonts w:hint="default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面向对象分析与设计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》</w:t>
            </w:r>
          </w:p>
          <w:p w14:paraId="0ACD70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《</w:t>
            </w:r>
            <w:r>
              <w:rPr>
                <w:rFonts w:hint="default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软件测试与质量保证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》</w:t>
            </w:r>
          </w:p>
          <w:p w14:paraId="19BC8A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《</w:t>
            </w:r>
            <w:r>
              <w:rPr>
                <w:rFonts w:hint="default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Java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》《</w:t>
            </w:r>
            <w:r>
              <w:rPr>
                <w:rFonts w:hint="default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C++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》《</w:t>
            </w:r>
            <w:r>
              <w:rPr>
                <w:rFonts w:hint="default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Python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》《</w:t>
            </w:r>
            <w:r>
              <w:rPr>
                <w:rFonts w:hint="default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数据库原理与应用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》</w:t>
            </w:r>
          </w:p>
          <w:p w14:paraId="2AB847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《</w:t>
            </w:r>
            <w:r>
              <w:rPr>
                <w:rFonts w:hint="default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计算机网络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》</w:t>
            </w:r>
          </w:p>
          <w:p w14:paraId="26D295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2D384E"/>
                <w:spacing w:val="3"/>
                <w:sz w:val="16"/>
                <w:szCs w:val="16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《</w:t>
            </w:r>
            <w:r>
              <w:rPr>
                <w:rFonts w:hint="default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Web开发技术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》</w:t>
            </w:r>
          </w:p>
        </w:tc>
      </w:tr>
    </w:tbl>
    <w:p w14:paraId="68D1BF4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Times New Roman" w:hAnsi="Times New Roman" w:eastAsia="黑体" w:cs="Times New Roman"/>
          <w:szCs w:val="32"/>
          <w:lang w:eastAsia="zh-CN"/>
        </w:rPr>
      </w:pPr>
      <w:bookmarkStart w:id="6" w:name="_Toc20219"/>
      <w:r>
        <w:rPr>
          <w:rFonts w:hint="eastAsia" w:ascii="Times New Roman" w:hAnsi="Times New Roman" w:eastAsia="黑体" w:cs="Times New Roman"/>
          <w:szCs w:val="32"/>
          <w:lang w:eastAsia="zh-CN"/>
        </w:rPr>
        <w:t>五、培养目标及规格</w:t>
      </w:r>
      <w:bookmarkEnd w:id="6"/>
    </w:p>
    <w:p w14:paraId="62A883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7" w:name="_Toc32570"/>
      <w:r>
        <w:rPr>
          <w:rFonts w:hint="eastAsia" w:ascii="楷体_GB2312" w:hAnsi="楷体_GB2312" w:eastAsia="楷体_GB2312" w:cs="楷体_GB2312"/>
          <w:b/>
          <w:bCs/>
          <w:lang w:eastAsia="zh-CN"/>
        </w:rPr>
        <w:t>（一）培养目标</w:t>
      </w:r>
      <w:bookmarkEnd w:id="7"/>
    </w:p>
    <w:p w14:paraId="05CD89C1">
      <w:pPr>
        <w:keepNext w:val="0"/>
        <w:keepLines w:val="0"/>
        <w:pageBreakBefore w:val="0"/>
        <w:shd w:val="clear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hAnsi="Times New Roman" w:cs="Times New Roman"/>
          <w:shd w:val="clear"/>
          <w:lang w:val="en-US" w:eastAsia="zh-CN"/>
        </w:rPr>
      </w:pPr>
      <w:r>
        <w:rPr>
          <w:rFonts w:hint="default" w:ascii="仿宋_GB2312" w:hAnsi="Times New Roman" w:cs="Times New Roman"/>
          <w:shd w:val="clear"/>
          <w:lang w:val="en-US" w:eastAsia="zh-CN"/>
        </w:rPr>
        <w:t>本专业培养能够践行社会主义核心价值观，传承技能文明，德智体美劳全面发展，具有一定的科学文化水平，良好的人文素养、科学素养、数字素养、职业道德、创新意识，爱岗敬业的职业精神、“编码规范意识、软件质量保证意识”的职业素养和精益求精的工匠精神，较强的就业创业能力和可持续发展的能力，掌握Java</w:t>
      </w:r>
      <w:r>
        <w:rPr>
          <w:rFonts w:hint="eastAsia" w:ascii="仿宋_GB2312" w:cs="Times New Roman"/>
          <w:shd w:val="clear"/>
          <w:lang w:val="en-US" w:eastAsia="zh-CN"/>
        </w:rPr>
        <w:t>、</w:t>
      </w:r>
      <w:r>
        <w:rPr>
          <w:rFonts w:hint="default" w:ascii="仿宋_GB2312" w:hAnsi="Times New Roman" w:cs="Times New Roman"/>
          <w:shd w:val="clear"/>
          <w:lang w:val="en-US" w:eastAsia="zh-CN"/>
        </w:rPr>
        <w:t>Web应用开发、Web前端开发、软件设计与测试和软件实施等相关知识和技术技能，具备职业综合素质和行动能力，面向软件和信息技术服务行业的计算机程序设计员、计算机软件测试员、计算机软件工程技术人员、信息系统运行维护工程技术人员等职业，能够从事软件开发、软件测试、软件技术支持、信息系统运维等工作的高技能人才。</w:t>
      </w:r>
    </w:p>
    <w:p w14:paraId="24982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8" w:name="_Toc11179"/>
      <w:r>
        <w:rPr>
          <w:rFonts w:hint="eastAsia" w:ascii="楷体_GB2312" w:hAnsi="楷体_GB2312" w:eastAsia="楷体_GB2312" w:cs="楷体_GB2312"/>
          <w:b/>
          <w:bCs/>
          <w:lang w:eastAsia="zh-CN"/>
        </w:rPr>
        <w:t>（二）培养规格</w:t>
      </w:r>
      <w:bookmarkEnd w:id="8"/>
    </w:p>
    <w:p w14:paraId="004D026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/>
          <w:lang w:val="en-US" w:eastAsia="zh-CN"/>
        </w:rPr>
      </w:pPr>
      <w:bookmarkStart w:id="9" w:name="_Toc23994"/>
      <w:r>
        <w:rPr>
          <w:rFonts w:hint="eastAsia" w:ascii="仿宋_GB2312"/>
          <w:lang w:val="en-US" w:eastAsia="zh-CN"/>
        </w:rPr>
        <w:t>本专业学生应在系统学习本专业知识并完成有关实习实训基础上，全面提升知识、能力、素质，掌握并实际运用岗位（群）需要的专业核心技术技能，实现德智体美劳全面发展，总体上须达到以下要求：</w:t>
      </w:r>
    </w:p>
    <w:p w14:paraId="3B70319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（1）坚定拥护中国共产党领导和中国特色社会主义制度，以习近平新时代中国特色社会主义思想为指导，践行社会主义核心价值观，具有坚定的理想信念、深厚的爱国情感和中华民族自豪感；</w:t>
      </w:r>
    </w:p>
    <w:p w14:paraId="5C07AB7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（2）掌握与本专业对应职业活动相关的国家法律、行业规定，掌握绿色生产、环境保护、安全防护、质量管理等相关知识与技能，了解相关行业文化，具有爱岗敬业的职业精神，遵守职业道德准则和行为规范，具备社会责任感和担当精神；</w:t>
      </w:r>
    </w:p>
    <w:p w14:paraId="1472767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（3）掌握支撑本专业学习和可持续发展必备的语文、数学、外语（英语等）、信息技术等文化基础知识，具有良好的人文素养与科学素养，具备职业生涯规划能力；</w:t>
      </w:r>
    </w:p>
    <w:p w14:paraId="5DBD299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（4）具有良好的语言表达能力、文字表达能力、沟通合作能力，具有较强的集体意识和团队合作意识，学习 1 门外语并结合本专业加以运用；</w:t>
      </w:r>
    </w:p>
    <w:p w14:paraId="2DA2BF9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（5）掌握面向对象程序设计、网页设计、数据库设计与应用、操作系统应用、计算机网络技术、图形图像处理等方面的专业基础理论知识；</w:t>
      </w:r>
    </w:p>
    <w:p w14:paraId="3BBD8DB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（6）掌握界面设计的方法，具有软件界面布局、美化和实现页面交互的能力；</w:t>
      </w:r>
    </w:p>
    <w:p w14:paraId="5EB3ABB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（7）掌握软件建模与设计、网站开发、企业级项目开发、软件测试等技术技能，具有软件设计、开发、测试等实践能力；</w:t>
      </w:r>
    </w:p>
    <w:p w14:paraId="36D7604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（8）掌握软件工程的基础知识，具有软件安装、实施与运维服务能力；</w:t>
      </w:r>
    </w:p>
    <w:p w14:paraId="3B6D459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（9）掌握信息技术基础知识，具有适应本行业数字化和智能化发展需求的数字技能；</w:t>
      </w:r>
    </w:p>
    <w:p w14:paraId="34869CE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（10）具有探究学习、终身学习和可持续发展的能力，具有整合知识和综合运用知识分析问题和解决问题的能力；</w:t>
      </w:r>
    </w:p>
    <w:p w14:paraId="34FAF74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（11）掌握身体运动的基本知识和至少 1 项体育运动技能，达到国家大学生体质健康测试合格标准，养成良好的运动习惯、卫生习惯和行为习惯，具备一定的心理调适能力；</w:t>
      </w:r>
    </w:p>
    <w:p w14:paraId="130307B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（12）掌握必备的美育知识，具有一定的文化修养、审美能力，形成至少 1 项艺术特长或爱好；</w:t>
      </w:r>
    </w:p>
    <w:p w14:paraId="659E42D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（13）树立正确的劳动观，尊重劳动，热爱劳动，具备与本专业职业发展相适应的劳动素养，弘扬劳模精神、劳动精神、工匠精神，弘扬劳动光荣、技能宝贵、创造伟大的时代风尚。</w:t>
      </w:r>
    </w:p>
    <w:p w14:paraId="49BE6BE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Times New Roman" w:hAnsi="Times New Roman" w:eastAsia="黑体" w:cs="Times New Roman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Cs w:val="32"/>
          <w:lang w:eastAsia="zh-CN"/>
        </w:rPr>
        <w:t>六、课程设置及要求</w:t>
      </w:r>
      <w:bookmarkEnd w:id="9"/>
    </w:p>
    <w:p w14:paraId="29F95C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</w:rPr>
      </w:pPr>
      <w:bookmarkStart w:id="10" w:name="_Toc5269"/>
      <w:r>
        <w:rPr>
          <w:rFonts w:hint="eastAsia" w:ascii="楷体_GB2312" w:hAnsi="楷体_GB2312" w:eastAsia="楷体_GB2312" w:cs="楷体_GB2312"/>
          <w:b/>
          <w:bCs/>
          <w:lang w:eastAsia="zh-CN"/>
        </w:rPr>
        <w:t>（一）公共基础课程</w:t>
      </w:r>
      <w:bookmarkEnd w:id="10"/>
    </w:p>
    <w:p w14:paraId="7F78C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本专业开设《思想道德与法治</w:t>
      </w:r>
      <w:r>
        <w:rPr>
          <w:rFonts w:hint="eastAsia" w:ascii="仿宋_GB2312" w:cs="Times New Roman"/>
          <w:lang w:eastAsia="zh-CN"/>
        </w:rPr>
        <w:t>》《</w:t>
      </w:r>
      <w:r>
        <w:rPr>
          <w:rFonts w:hint="eastAsia" w:ascii="仿宋_GB2312" w:hAnsi="Times New Roman" w:cs="Times New Roman"/>
          <w:lang w:eastAsia="zh-CN"/>
        </w:rPr>
        <w:t>毛泽东思想和中国特色社会主义理论体系概论</w:t>
      </w:r>
      <w:r>
        <w:rPr>
          <w:rFonts w:hint="eastAsia" w:ascii="仿宋_GB2312" w:cs="Times New Roman"/>
          <w:lang w:eastAsia="zh-CN"/>
        </w:rPr>
        <w:t>》《</w:t>
      </w:r>
      <w:r>
        <w:rPr>
          <w:rFonts w:hint="eastAsia" w:ascii="仿宋_GB2312" w:hAnsi="Times New Roman" w:cs="Times New Roman"/>
          <w:lang w:eastAsia="zh-CN"/>
        </w:rPr>
        <w:t>习近平新时代中国特色社会主义思想概论</w:t>
      </w:r>
      <w:r>
        <w:rPr>
          <w:rFonts w:hint="eastAsia" w:ascii="仿宋_GB2312" w:cs="Times New Roman"/>
          <w:lang w:eastAsia="zh-CN"/>
        </w:rPr>
        <w:t>》《</w:t>
      </w:r>
      <w:r>
        <w:rPr>
          <w:rFonts w:hint="eastAsia" w:ascii="仿宋_GB2312" w:hAnsi="Times New Roman" w:cs="Times New Roman"/>
          <w:lang w:eastAsia="zh-CN"/>
        </w:rPr>
        <w:t>形势与政策</w:t>
      </w:r>
      <w:r>
        <w:rPr>
          <w:rFonts w:hint="eastAsia" w:ascii="仿宋_GB2312" w:cs="Times New Roman"/>
          <w:lang w:eastAsia="zh-CN"/>
        </w:rPr>
        <w:t>》《</w:t>
      </w:r>
      <w:r>
        <w:rPr>
          <w:rFonts w:hint="eastAsia" w:ascii="仿宋_GB2312" w:hAnsi="Times New Roman" w:cs="Times New Roman"/>
          <w:lang w:eastAsia="zh-CN"/>
        </w:rPr>
        <w:t>体育与健康</w:t>
      </w:r>
      <w:r>
        <w:rPr>
          <w:rFonts w:hint="eastAsia" w:ascii="仿宋_GB2312" w:cs="Times New Roman"/>
          <w:lang w:eastAsia="zh-CN"/>
        </w:rPr>
        <w:t>》《</w:t>
      </w:r>
      <w:r>
        <w:rPr>
          <w:rFonts w:hint="eastAsia" w:ascii="仿宋_GB2312" w:hAnsi="Times New Roman" w:cs="Times New Roman"/>
          <w:lang w:eastAsia="zh-CN"/>
        </w:rPr>
        <w:t>心理健康教育</w:t>
      </w:r>
      <w:r>
        <w:rPr>
          <w:rFonts w:hint="eastAsia" w:ascii="仿宋_GB2312" w:cs="Times New Roman"/>
          <w:lang w:eastAsia="zh-CN"/>
        </w:rPr>
        <w:t>》《</w:t>
      </w:r>
      <w:r>
        <w:rPr>
          <w:rFonts w:hint="eastAsia" w:ascii="仿宋_GB2312" w:hAnsi="Times New Roman" w:cs="Times New Roman"/>
          <w:lang w:eastAsia="zh-CN"/>
        </w:rPr>
        <w:t>职业规划与就业指导</w:t>
      </w:r>
      <w:r>
        <w:rPr>
          <w:rFonts w:hint="eastAsia" w:ascii="仿宋_GB2312" w:cs="Times New Roman"/>
          <w:lang w:eastAsia="zh-CN"/>
        </w:rPr>
        <w:t>》《</w:t>
      </w:r>
      <w:r>
        <w:rPr>
          <w:rFonts w:hint="eastAsia" w:ascii="仿宋_GB2312" w:cs="Times New Roman"/>
          <w:lang w:val="en-US" w:eastAsia="zh-CN"/>
        </w:rPr>
        <w:t>高职英语》《</w:t>
      </w:r>
      <w:r>
        <w:rPr>
          <w:rFonts w:hint="eastAsia" w:ascii="仿宋_GB2312" w:hAnsi="Times New Roman" w:cs="Times New Roman"/>
          <w:lang w:eastAsia="zh-CN"/>
        </w:rPr>
        <w:t>信息技术</w:t>
      </w:r>
      <w:r>
        <w:rPr>
          <w:rFonts w:hint="eastAsia" w:ascii="仿宋_GB2312" w:cs="Times New Roman"/>
          <w:lang w:eastAsia="zh-CN"/>
        </w:rPr>
        <w:t>》《</w:t>
      </w:r>
      <w:r>
        <w:rPr>
          <w:rFonts w:hint="eastAsia" w:ascii="仿宋_GB2312" w:hAnsi="Times New Roman" w:cs="Times New Roman"/>
          <w:lang w:eastAsia="zh-CN"/>
        </w:rPr>
        <w:t>创业基础</w:t>
      </w:r>
      <w:r>
        <w:rPr>
          <w:rFonts w:hint="eastAsia" w:ascii="仿宋_GB2312" w:cs="Times New Roman"/>
          <w:lang w:eastAsia="zh-CN"/>
        </w:rPr>
        <w:t>》《</w:t>
      </w:r>
      <w:r>
        <w:rPr>
          <w:rFonts w:hint="eastAsia" w:ascii="仿宋_GB2312" w:cs="Times New Roman"/>
          <w:lang w:val="en-US" w:eastAsia="zh-CN"/>
        </w:rPr>
        <w:t>劳动教育》《军事理论》《大学生安全教育》《国家安全教育》《应用写作》《高等数学》</w:t>
      </w:r>
      <w:r>
        <w:rPr>
          <w:rFonts w:hint="eastAsia" w:ascii="仿宋_GB2312" w:hAnsi="Times New Roman" w:cs="Times New Roman"/>
          <w:lang w:eastAsia="zh-CN"/>
        </w:rPr>
        <w:t>共</w:t>
      </w:r>
      <w:r>
        <w:rPr>
          <w:rFonts w:hint="eastAsia" w:ascii="仿宋_GB2312" w:cs="Times New Roman"/>
          <w:lang w:val="en-US" w:eastAsia="zh-CN"/>
        </w:rPr>
        <w:t>16</w:t>
      </w:r>
      <w:r>
        <w:rPr>
          <w:rFonts w:hint="eastAsia" w:ascii="仿宋_GB2312" w:hAnsi="Times New Roman" w:cs="Times New Roman"/>
          <w:lang w:eastAsia="zh-CN"/>
        </w:rPr>
        <w:t>门公共基础必修课程。</w:t>
      </w:r>
    </w:p>
    <w:p w14:paraId="44BFC674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3" w:firstLineChars="200"/>
        <w:outlineLvl w:val="2"/>
        <w:rPr>
          <w:rFonts w:hint="eastAsia" w:ascii="仿宋_GB2312" w:hAnsi="Times New Roman" w:cs="Times New Roman"/>
          <w:b/>
          <w:bCs/>
          <w:lang w:val="en-US" w:eastAsia="zh-CN"/>
        </w:rPr>
      </w:pPr>
      <w:r>
        <w:rPr>
          <w:rFonts w:hint="eastAsia" w:ascii="仿宋_GB2312" w:hAnsi="Times New Roman" w:cs="Times New Roman"/>
          <w:b/>
          <w:bCs/>
          <w:lang w:val="en-US" w:eastAsia="zh-CN"/>
        </w:rPr>
        <w:t>1.公共必修课</w:t>
      </w:r>
    </w:p>
    <w:p w14:paraId="73582AF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（1）思想道德与法治</w:t>
      </w:r>
      <w:r>
        <w:rPr>
          <w:rFonts w:hint="eastAsia" w:ascii="仿宋_GB2312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48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3</w:t>
      </w:r>
      <w:r>
        <w:rPr>
          <w:rFonts w:hint="eastAsia" w:ascii="仿宋_GB2312" w:hAnsi="Times New Roman" w:cs="Times New Roman"/>
          <w:lang w:eastAsia="zh-CN"/>
        </w:rPr>
        <w:t>学分</w:t>
      </w:r>
      <w:r>
        <w:rPr>
          <w:rFonts w:hint="eastAsia" w:ascii="仿宋_GB2312" w:cs="Times New Roman"/>
          <w:lang w:eastAsia="zh-CN"/>
        </w:rPr>
        <w:t>）</w:t>
      </w:r>
    </w:p>
    <w:p w14:paraId="2746673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本课程是一门</w:t>
      </w:r>
      <w:r>
        <w:rPr>
          <w:rFonts w:hint="eastAsia" w:ascii="仿宋_GB2312" w:cs="Times New Roman"/>
          <w:lang w:val="en-US" w:eastAsia="zh-CN"/>
        </w:rPr>
        <w:t>公共基础必修</w:t>
      </w:r>
      <w:r>
        <w:rPr>
          <w:rFonts w:hint="eastAsia" w:ascii="仿宋_GB2312" w:hAnsi="Times New Roman" w:cs="Times New Roman"/>
          <w:lang w:eastAsia="zh-CN"/>
        </w:rPr>
        <w:t>课程，主要针对大学生成长过程中面临的思想道德和法治问题，开展马克思主义的世界观、人生观、价值观、道德观及法治观教育，引导大学生提升思想道德素质和法治素养。</w:t>
      </w:r>
    </w:p>
    <w:p w14:paraId="2343CFB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hAnsi="Times New Roman" w:cs="Times New Roman"/>
          <w:lang w:val="en-US" w:eastAsia="zh-CN"/>
        </w:rPr>
        <w:t>2</w:t>
      </w:r>
      <w:r>
        <w:rPr>
          <w:rFonts w:hint="eastAsia" w:ascii="仿宋_GB2312" w:hAnsi="Times New Roman" w:cs="Times New Roman"/>
          <w:lang w:eastAsia="zh-CN"/>
        </w:rPr>
        <w:t>）</w:t>
      </w:r>
      <w:r>
        <w:rPr>
          <w:rFonts w:hint="eastAsia" w:ascii="仿宋_GB2312" w:hAnsi="Times New Roman" w:cs="Times New Roman"/>
          <w:lang w:val="en-US" w:eastAsia="zh-CN"/>
        </w:rPr>
        <w:t>毛泽东思想和中国特色社会主义理论体系概论</w:t>
      </w:r>
      <w:r>
        <w:rPr>
          <w:rFonts w:hint="eastAsia" w:ascii="仿宋_GB2312" w:cs="Times New Roman"/>
          <w:lang w:val="en-US" w:eastAsia="zh-CN"/>
        </w:rPr>
        <w:t>（32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2</w:t>
      </w:r>
      <w:r>
        <w:rPr>
          <w:rFonts w:hint="eastAsia" w:ascii="仿宋_GB2312" w:hAnsi="Times New Roman" w:cs="Times New Roman"/>
          <w:lang w:eastAsia="zh-CN"/>
        </w:rPr>
        <w:t>学分</w:t>
      </w:r>
      <w:r>
        <w:rPr>
          <w:rFonts w:hint="eastAsia" w:ascii="仿宋_GB2312" w:cs="Times New Roman"/>
          <w:lang w:eastAsia="zh-CN"/>
        </w:rPr>
        <w:t>）</w:t>
      </w:r>
    </w:p>
    <w:p w14:paraId="6B589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eastAsia="zh-CN"/>
        </w:rPr>
        <w:t>以马克思主义中国化为主线，以坚持和发展中国特色社会主义为主题，以习近平新时代中国特色社会主义思想为重点，突出中国站起来、富起来、强起来的历史逻辑，通过相关基本理论学习，引导大学生坚定走中国特色社会主义道路的理想信念。</w:t>
      </w:r>
    </w:p>
    <w:p w14:paraId="1C7ECA41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3</w:t>
      </w:r>
      <w:r>
        <w:rPr>
          <w:rFonts w:hint="eastAsia" w:ascii="仿宋_GB2312" w:hAnsi="Times New Roman" w:cs="Times New Roman"/>
          <w:lang w:eastAsia="zh-CN"/>
        </w:rPr>
        <w:t>）</w:t>
      </w:r>
      <w:r>
        <w:rPr>
          <w:rFonts w:hint="eastAsia" w:ascii="仿宋_GB2312" w:hAnsi="Times New Roman" w:cs="Times New Roman"/>
          <w:lang w:val="en-US" w:eastAsia="zh-CN"/>
        </w:rPr>
        <w:t>形势与政策</w:t>
      </w:r>
      <w:r>
        <w:rPr>
          <w:rFonts w:hint="eastAsia" w:ascii="仿宋_GB2312" w:cs="Times New Roman"/>
          <w:lang w:val="en-US" w:eastAsia="zh-CN"/>
        </w:rPr>
        <w:t>（16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1</w:t>
      </w:r>
      <w:r>
        <w:rPr>
          <w:rFonts w:hint="eastAsia" w:ascii="仿宋_GB2312" w:hAnsi="Times New Roman" w:cs="Times New Roman"/>
          <w:lang w:eastAsia="zh-CN"/>
        </w:rPr>
        <w:t>学分</w:t>
      </w:r>
      <w:r>
        <w:rPr>
          <w:rFonts w:hint="eastAsia" w:ascii="仿宋_GB2312" w:cs="Times New Roman"/>
          <w:lang w:eastAsia="zh-CN"/>
        </w:rPr>
        <w:t>）</w:t>
      </w:r>
    </w:p>
    <w:p w14:paraId="5227DC8A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本课程是</w:t>
      </w:r>
      <w:r>
        <w:rPr>
          <w:rFonts w:hint="eastAsia" w:ascii="仿宋_GB2312" w:cs="Times New Roman"/>
          <w:lang w:val="en-US" w:eastAsia="zh-CN"/>
        </w:rPr>
        <w:t>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主要讲授党的理论创新最新成果，党的路线方针政策、基本国情、国内外形势</w:t>
      </w:r>
      <w:r>
        <w:rPr>
          <w:rFonts w:hint="eastAsia" w:ascii="仿宋_GB2312" w:cs="Times New Roman"/>
          <w:lang w:val="en-US" w:eastAsia="zh-CN"/>
        </w:rPr>
        <w:t>及</w:t>
      </w:r>
      <w:r>
        <w:rPr>
          <w:rFonts w:hint="eastAsia" w:ascii="仿宋_GB2312" w:hAnsi="Times New Roman" w:cs="Times New Roman"/>
          <w:lang w:val="en-US" w:eastAsia="zh-CN"/>
        </w:rPr>
        <w:t>热点难点问题，帮助学生深刻领会党和国家事业取得的历史性成就、面临的历史性机遇和挑战，引导大学生正确认识世界和中国发展大势，正确认识时代责任和历史使命的一门公共思想政治理论课。</w:t>
      </w:r>
    </w:p>
    <w:p w14:paraId="1004DD8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3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（4）习近平新时代中国特色社会主义思想概论（</w:t>
      </w:r>
      <w:r>
        <w:rPr>
          <w:rFonts w:hint="eastAsia" w:ascii="仿宋_GB2312" w:cs="Times New Roman"/>
          <w:lang w:val="en-US" w:eastAsia="zh-CN"/>
        </w:rPr>
        <w:t>48</w:t>
      </w:r>
      <w:r>
        <w:rPr>
          <w:rFonts w:hint="eastAsia" w:ascii="仿宋_GB2312" w:hAnsi="Times New Roman" w:cs="Times New Roman"/>
          <w:lang w:val="en-US" w:eastAsia="zh-CN"/>
        </w:rPr>
        <w:t>学时、3学分）</w:t>
      </w:r>
    </w:p>
    <w:p w14:paraId="531D0FF7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旨在指导学生从整体上把握马克思主义中国化的最新理论成果，系统学习领会习近平新时代中国特色社会主义思想的基本内容、理论体系、时代价值与历史意义，引导学生进一步</w:t>
      </w:r>
      <w:r>
        <w:rPr>
          <w:rFonts w:hint="eastAsia" w:ascii="仿宋_GB2312" w:cs="Times New Roman"/>
          <w:lang w:val="en-US" w:eastAsia="zh-CN"/>
        </w:rPr>
        <w:t>坚定“四个自信”、</w:t>
      </w:r>
      <w:r>
        <w:rPr>
          <w:rFonts w:hint="eastAsia" w:ascii="仿宋_GB2312" w:hAnsi="Times New Roman" w:cs="Times New Roman"/>
          <w:lang w:val="en-US" w:eastAsia="zh-CN"/>
        </w:rPr>
        <w:t>增强“四个意识”，做到“两个维护”，自觉投身到建设新时代中国特色社会主义的伟大历史进程中去。</w:t>
      </w:r>
    </w:p>
    <w:p w14:paraId="06DBCE97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cs="Times New Roman"/>
          <w:lang w:val="en-US" w:eastAsia="zh-CN"/>
        </w:rPr>
        <w:t>（5）高职</w:t>
      </w:r>
      <w:r>
        <w:rPr>
          <w:rFonts w:hint="eastAsia" w:ascii="仿宋_GB2312" w:hAnsi="Times New Roman" w:cs="Times New Roman"/>
          <w:lang w:val="en-US" w:eastAsia="zh-CN"/>
        </w:rPr>
        <w:t>英语</w:t>
      </w:r>
      <w:r>
        <w:rPr>
          <w:rFonts w:hint="eastAsia" w:ascii="仿宋_GB2312" w:cs="Times New Roman"/>
          <w:lang w:val="en-US" w:eastAsia="zh-CN"/>
        </w:rPr>
        <w:t>（96学时</w:t>
      </w:r>
      <w:r>
        <w:rPr>
          <w:rFonts w:hint="eastAsia" w:ascii="仿宋_GB2312" w:hAnsi="Times New Roman" w:cs="Times New Roman"/>
          <w:lang w:eastAsia="zh-CN"/>
        </w:rPr>
        <w:t>、</w:t>
      </w:r>
      <w:r>
        <w:rPr>
          <w:rFonts w:hint="eastAsia" w:ascii="仿宋_GB2312" w:cs="Times New Roman"/>
          <w:lang w:val="en-US" w:eastAsia="zh-CN"/>
        </w:rPr>
        <w:t>6</w:t>
      </w:r>
      <w:r>
        <w:rPr>
          <w:rFonts w:hint="eastAsia" w:ascii="仿宋_GB2312" w:hAnsi="Times New Roman" w:cs="Times New Roman"/>
          <w:lang w:eastAsia="zh-CN"/>
        </w:rPr>
        <w:t>学分</w:t>
      </w:r>
      <w:r>
        <w:rPr>
          <w:rFonts w:hint="eastAsia" w:ascii="仿宋_GB2312" w:cs="Times New Roman"/>
          <w:lang w:eastAsia="zh-CN"/>
        </w:rPr>
        <w:t>）</w:t>
      </w:r>
    </w:p>
    <w:p w14:paraId="79B7E90E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通过对精选的规范的语言教材的讲解，传授系统的英语语音、语法、词汇、篇章结构等基础知识；同时对学生进行严格的英语听说读写译等基本技能综合训练。在精讲多练的原则下，着重培养学生实际运用英语的能力，帮助学生掌握基本的英语交流技能。</w:t>
      </w:r>
    </w:p>
    <w:p w14:paraId="7566EC2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6</w:t>
      </w:r>
      <w:r>
        <w:rPr>
          <w:rFonts w:hint="eastAsia" w:ascii="仿宋_GB2312" w:hAnsi="Times New Roman" w:cs="Times New Roman"/>
          <w:lang w:eastAsia="zh-CN"/>
        </w:rPr>
        <w:t>）</w:t>
      </w:r>
      <w:r>
        <w:rPr>
          <w:rFonts w:hint="eastAsia" w:ascii="仿宋_GB2312" w:hAnsi="Times New Roman" w:cs="Times New Roman"/>
          <w:lang w:val="en-US" w:eastAsia="zh-CN"/>
        </w:rPr>
        <w:t>信息技术</w:t>
      </w:r>
      <w:r>
        <w:rPr>
          <w:rFonts w:hint="eastAsia" w:ascii="仿宋_GB2312" w:cs="Times New Roman"/>
          <w:lang w:val="en-US" w:eastAsia="zh-CN"/>
        </w:rPr>
        <w:t>（48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3</w:t>
      </w:r>
      <w:r>
        <w:rPr>
          <w:rFonts w:hint="eastAsia" w:ascii="仿宋_GB2312" w:hAnsi="Times New Roman" w:cs="Times New Roman"/>
          <w:lang w:eastAsia="zh-CN"/>
        </w:rPr>
        <w:t>学分</w:t>
      </w:r>
      <w:r>
        <w:rPr>
          <w:rFonts w:hint="eastAsia" w:ascii="仿宋_GB2312" w:cs="Times New Roman"/>
          <w:lang w:eastAsia="zh-CN"/>
        </w:rPr>
        <w:t>）</w:t>
      </w:r>
    </w:p>
    <w:p w14:paraId="6C144EA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通过本课程的学习，帮助学生认识信息技术对人类生产、生活的重要作用，了解现代社会信息技术发展趋势，理解信息社会特征并遵循信息社会规范；使学生掌握常用的工具软件和信息化办公技术，了解大数据、人工智能、区块链等新兴信息技术，具备支撑专业学习的能力，能在日常生活、学习和工作中综合运用信息技术解决问题；使学生拥有团队意识和职业精神，具备独立思考和主动探究能力，为学生职业能力的持续发展奠定基础。</w:t>
      </w:r>
    </w:p>
    <w:p w14:paraId="46F9B3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ind w:left="0" w:leftChars="0"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cs="Times New Roman"/>
          <w:lang w:val="en-US" w:eastAsia="zh-CN"/>
        </w:rPr>
        <w:t>（7）体育与健康（112学时</w:t>
      </w:r>
      <w:r>
        <w:rPr>
          <w:rFonts w:hint="eastAsia" w:ascii="仿宋_GB2312" w:hAnsi="Times New Roman" w:cs="Times New Roman"/>
          <w:lang w:eastAsia="zh-CN"/>
        </w:rPr>
        <w:t>、</w:t>
      </w:r>
      <w:r>
        <w:rPr>
          <w:rFonts w:hint="eastAsia" w:ascii="仿宋_GB2312" w:cs="Times New Roman"/>
          <w:lang w:val="en-US" w:eastAsia="zh-CN"/>
        </w:rPr>
        <w:t>6</w:t>
      </w:r>
      <w:r>
        <w:rPr>
          <w:rFonts w:hint="eastAsia" w:ascii="仿宋_GB2312" w:hAnsi="Times New Roman" w:cs="Times New Roman"/>
          <w:lang w:eastAsia="zh-CN"/>
        </w:rPr>
        <w:t>学分</w:t>
      </w:r>
      <w:r>
        <w:rPr>
          <w:rFonts w:hint="eastAsia" w:ascii="仿宋_GB2312" w:cs="Times New Roman"/>
          <w:lang w:eastAsia="zh-CN"/>
        </w:rPr>
        <w:t>）</w:t>
      </w:r>
    </w:p>
    <w:p w14:paraId="648D9D5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以“健康第一”为指导，以身体练习为主要手段，以增进健康为主要目的，增强体能，学习与掌握各项体育运动技能。让学生掌握体育与健康基本知识，并指导实践；提高学生身体素质，心理素质，社会适应能力，具有良好的道德品质；每位学生能掌握1-2项运动技术，养成</w:t>
      </w:r>
      <w:r>
        <w:rPr>
          <w:rFonts w:hint="eastAsia" w:ascii="仿宋_GB2312" w:cs="Times New Roman"/>
          <w:lang w:val="en-US" w:eastAsia="zh-CN"/>
        </w:rPr>
        <w:t>终身</w:t>
      </w:r>
      <w:r>
        <w:rPr>
          <w:rFonts w:hint="eastAsia" w:ascii="仿宋_GB2312" w:hAnsi="Times New Roman" w:cs="Times New Roman"/>
          <w:lang w:val="en-US" w:eastAsia="zh-CN"/>
        </w:rPr>
        <w:t>体育的运动习惯。具备职业人所应有的职业体能与职业素养，以展现当代大学生的精神风貌，为学生的职业方向和将来的工作特点奠定坚实的基础。</w:t>
      </w:r>
    </w:p>
    <w:p w14:paraId="5949D3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ind w:left="0" w:leftChars="0" w:firstLine="640" w:firstLineChars="200"/>
        <w:textAlignment w:val="auto"/>
        <w:outlineLvl w:val="3"/>
        <w:rPr>
          <w:rFonts w:hint="eastAsia" w:ascii="仿宋_GB2312" w:hAnsi="Times New Roman" w:cs="Times New Roman"/>
          <w:color w:val="auto"/>
          <w:lang w:eastAsia="zh-CN"/>
        </w:rPr>
      </w:pPr>
      <w:r>
        <w:rPr>
          <w:rFonts w:hint="eastAsia" w:ascii="仿宋_GB2312" w:cs="Times New Roman"/>
          <w:color w:val="auto"/>
          <w:lang w:val="en-US" w:eastAsia="zh-CN"/>
        </w:rPr>
        <w:t>（8）应用写作（16</w:t>
      </w:r>
      <w:r>
        <w:rPr>
          <w:rFonts w:hint="eastAsia" w:ascii="仿宋_GB2312" w:hAnsi="Times New Roman" w:cs="Times New Roman"/>
          <w:color w:val="auto"/>
          <w:lang w:eastAsia="zh-CN"/>
        </w:rPr>
        <w:t>学时、</w:t>
      </w:r>
      <w:r>
        <w:rPr>
          <w:rFonts w:hint="eastAsia" w:ascii="仿宋_GB2312" w:cs="Times New Roman"/>
          <w:color w:val="auto"/>
          <w:lang w:val="en-US" w:eastAsia="zh-CN"/>
        </w:rPr>
        <w:t>1</w:t>
      </w:r>
      <w:r>
        <w:rPr>
          <w:rFonts w:hint="eastAsia" w:ascii="仿宋_GB2312" w:hAnsi="Times New Roman" w:cs="Times New Roman"/>
          <w:color w:val="auto"/>
          <w:lang w:eastAsia="zh-CN"/>
        </w:rPr>
        <w:t>学分</w:t>
      </w:r>
      <w:r>
        <w:rPr>
          <w:rFonts w:hint="eastAsia" w:ascii="仿宋_GB2312" w:cs="Times New Roman"/>
          <w:color w:val="auto"/>
          <w:lang w:eastAsia="zh-CN"/>
        </w:rPr>
        <w:t>）</w:t>
      </w:r>
    </w:p>
    <w:p w14:paraId="209AC5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9"/>
        <w:rPr>
          <w:rFonts w:hint="eastAsia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/>
        </w:rPr>
        <w:t>主要以理论阐释、案例写作、实践训练的方式为主。通过教学和训练，使学生知晓公文文书的规范格式，以及常用事务文书、经济文书、调研文书、新闻文书及礼仪文书的结构，能够根据所给案例熟练拟写常用事务文书、新闻文书及礼仪文书，能够进行经济文书、调研文书的写作，为将来工作岗位中胜任未来工作中的写作任务做好准备。</w:t>
      </w:r>
    </w:p>
    <w:p w14:paraId="03D2CD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ind w:left="0" w:leftChars="0"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cs="Times New Roman"/>
          <w:lang w:val="en-US" w:eastAsia="zh-CN"/>
        </w:rPr>
        <w:t>（9）职业规划与就业指导（32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2</w:t>
      </w:r>
      <w:r>
        <w:rPr>
          <w:rFonts w:hint="eastAsia" w:ascii="仿宋_GB2312" w:hAnsi="Times New Roman" w:cs="Times New Roman"/>
          <w:lang w:eastAsia="zh-CN"/>
        </w:rPr>
        <w:t>学分</w:t>
      </w:r>
      <w:r>
        <w:rPr>
          <w:rFonts w:hint="eastAsia" w:ascii="仿宋_GB2312" w:cs="Times New Roman"/>
          <w:lang w:eastAsia="zh-CN"/>
        </w:rPr>
        <w:t>）</w:t>
      </w:r>
    </w:p>
    <w:p w14:paraId="18822735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旨在帮助学生认识自我，了解职业，设定职业规划目标，并规划实施；做好求职准备，掌握简历撰写和面试技巧，找到合适的工作。</w:t>
      </w:r>
    </w:p>
    <w:p w14:paraId="63B58B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ind w:left="0" w:leftChars="0"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cs="Times New Roman"/>
          <w:lang w:val="en-US" w:eastAsia="zh-CN"/>
        </w:rPr>
        <w:t>（10）创业基础（32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2</w:t>
      </w:r>
      <w:r>
        <w:rPr>
          <w:rFonts w:hint="eastAsia" w:ascii="仿宋_GB2312" w:hAnsi="Times New Roman" w:cs="Times New Roman"/>
          <w:lang w:eastAsia="zh-CN"/>
        </w:rPr>
        <w:t>学分</w:t>
      </w:r>
      <w:r>
        <w:rPr>
          <w:rFonts w:hint="eastAsia" w:ascii="仿宋_GB2312" w:cs="Times New Roman"/>
          <w:lang w:eastAsia="zh-CN"/>
        </w:rPr>
        <w:t>）</w:t>
      </w:r>
    </w:p>
    <w:p w14:paraId="741A75B8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旨在培养学生的创新思维，创业意识和创新创业能力。了解创办企业的流程和步骤，掌握企业经营的方法，具备创业知识和能力。</w:t>
      </w:r>
    </w:p>
    <w:p w14:paraId="1B1423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ind w:left="0" w:leftChars="0"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cs="Times New Roman"/>
          <w:lang w:val="en-US" w:eastAsia="zh-CN"/>
        </w:rPr>
        <w:t>（11）心理健康教育（32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2</w:t>
      </w:r>
      <w:r>
        <w:rPr>
          <w:rFonts w:hint="eastAsia" w:ascii="仿宋_GB2312" w:hAnsi="Times New Roman" w:cs="Times New Roman"/>
          <w:lang w:eastAsia="zh-CN"/>
        </w:rPr>
        <w:t>学分</w:t>
      </w:r>
      <w:r>
        <w:rPr>
          <w:rFonts w:hint="eastAsia" w:ascii="仿宋_GB2312" w:cs="Times New Roman"/>
          <w:lang w:eastAsia="zh-CN"/>
        </w:rPr>
        <w:t>）</w:t>
      </w:r>
    </w:p>
    <w:p w14:paraId="790A90EE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集知识传授、心理体验与行为训练为一体。课程以提高学生心理素质，塑造学生职业核心能力、提升学生未来社会适应能力为主旨，提升自我认知、人际沟通、自我调节、危机预防、创新思维等心理、职业核心能力。</w:t>
      </w:r>
    </w:p>
    <w:p w14:paraId="298FAA38">
      <w:pPr>
        <w:overflowPunct w:val="0"/>
        <w:adjustRightInd w:val="0"/>
        <w:ind w:firstLine="640" w:firstLineChars="200"/>
        <w:outlineLvl w:val="3"/>
        <w:rPr>
          <w:rFonts w:ascii="仿宋_GB2312"/>
        </w:rPr>
      </w:pPr>
      <w:r>
        <w:rPr>
          <w:rFonts w:hint="eastAsia" w:ascii="仿宋_GB2312"/>
        </w:rPr>
        <w:t>（12）大学生安全教育</w:t>
      </w:r>
      <w:r>
        <w:rPr>
          <w:rFonts w:hint="eastAsia" w:ascii="仿宋_GB2312"/>
          <w:lang w:eastAsia="zh-CN"/>
        </w:rPr>
        <w:t>（</w:t>
      </w:r>
      <w:r>
        <w:rPr>
          <w:rFonts w:hint="eastAsia" w:ascii="仿宋_GB2312"/>
        </w:rPr>
        <w:t>60学时、1学分</w:t>
      </w:r>
      <w:r>
        <w:rPr>
          <w:rFonts w:hint="eastAsia" w:ascii="仿宋_GB2312"/>
          <w:lang w:eastAsia="zh-CN"/>
        </w:rPr>
        <w:t>）</w:t>
      </w:r>
    </w:p>
    <w:p w14:paraId="61783825">
      <w:pPr>
        <w:overflowPunct w:val="0"/>
        <w:adjustRightInd w:val="0"/>
        <w:ind w:firstLine="640" w:firstLineChars="200"/>
        <w:rPr>
          <w:rFonts w:hint="eastAsia" w:ascii="仿宋_GB2312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ascii="仿宋_GB2312"/>
        </w:rPr>
        <w:t>集知识传授、技能培养为一体，总学时为60学时。课程旨在通过对大学生进行安全教育和技能培训，促进学生主动掌握安全防范知识，不断提高安全防范意识和避险自救能力，全面提升大学生安全整体素质。主要授课内容包括国家安全、网络安全、消防安全、公共卫生安全、社会活动安全、防灾减灾、应急逃生自救</w:t>
      </w:r>
      <w:r>
        <w:rPr>
          <w:rFonts w:hint="eastAsia" w:ascii="仿宋_GB2312"/>
          <w:lang w:eastAsia="zh-CN"/>
        </w:rPr>
        <w:t>、</w:t>
      </w:r>
      <w:r>
        <w:rPr>
          <w:rFonts w:hint="eastAsia" w:ascii="仿宋_GB2312"/>
          <w:lang w:val="en-US" w:eastAsia="zh-CN"/>
        </w:rPr>
        <w:t>实验实训安全</w:t>
      </w:r>
      <w:r>
        <w:rPr>
          <w:rFonts w:ascii="仿宋_GB2312"/>
        </w:rPr>
        <w:t>等</w:t>
      </w:r>
      <w:r>
        <w:rPr>
          <w:rFonts w:hint="eastAsia" w:ascii="仿宋_GB2312"/>
        </w:rPr>
        <w:t>。</w:t>
      </w:r>
    </w:p>
    <w:p w14:paraId="01095D9A">
      <w:pPr>
        <w:overflowPunct w:val="0"/>
        <w:adjustRightInd w:val="0"/>
        <w:ind w:firstLine="640" w:firstLineChars="200"/>
        <w:outlineLvl w:val="3"/>
        <w:rPr>
          <w:rFonts w:ascii="仿宋_GB2312"/>
        </w:rPr>
      </w:pPr>
      <w:r>
        <w:rPr>
          <w:rFonts w:hint="eastAsia" w:ascii="仿宋_GB2312"/>
          <w:lang w:eastAsia="zh-CN"/>
        </w:rPr>
        <w:t>（</w:t>
      </w:r>
      <w:r>
        <w:rPr>
          <w:rFonts w:hint="eastAsia" w:ascii="仿宋_GB2312"/>
          <w:lang w:val="en-US" w:eastAsia="zh-CN"/>
        </w:rPr>
        <w:t>13</w:t>
      </w:r>
      <w:r>
        <w:rPr>
          <w:rFonts w:hint="eastAsia" w:ascii="仿宋_GB2312"/>
          <w:lang w:eastAsia="zh-CN"/>
        </w:rPr>
        <w:t>）国家安全教育（</w:t>
      </w:r>
      <w:r>
        <w:rPr>
          <w:rFonts w:hint="eastAsia" w:ascii="仿宋_GB2312"/>
          <w:lang w:val="en-US" w:eastAsia="zh-CN"/>
        </w:rPr>
        <w:t>16</w:t>
      </w:r>
      <w:r>
        <w:rPr>
          <w:rFonts w:hint="eastAsia" w:ascii="仿宋_GB2312"/>
        </w:rPr>
        <w:t>学时、1学分</w:t>
      </w:r>
      <w:r>
        <w:rPr>
          <w:rFonts w:hint="eastAsia" w:ascii="仿宋_GB2312"/>
          <w:lang w:eastAsia="zh-CN"/>
        </w:rPr>
        <w:t>）</w:t>
      </w:r>
    </w:p>
    <w:p w14:paraId="3052F916">
      <w:pPr>
        <w:overflowPunct w:val="0"/>
        <w:adjustRightInd w:val="0"/>
        <w:ind w:firstLine="640" w:firstLineChars="200"/>
        <w:rPr>
          <w:rFonts w:hint="eastAsia" w:ascii="仿宋_GB2312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/>
          <w:lang w:eastAsia="zh-CN"/>
        </w:rPr>
        <w:t>集知识传授、能力培养为一体，总学时16学时。本课程主要内容包括总体国家安全观、政治安全、国土安全、军事安全、经济安全、文化安全、社会安全、科技安全、网络安全、生态安全、资源安全、核安全、海外利益安全、新兴领域安全等内容；公共安全教育主要包括人身安全、公共卫生安全、财产安全、心理安全、消防安全、应急处置、预防违法犯罪、防范邪教等内容。本课程的培养目标是通过国家安全教育和公共安全教育，提高新时代大学生的国家安全意识和自我保护能力，在潜移默化中坚定学生理想信念、厚植爱国主义情怀，加强品德修养，增长知识见识，培养奋斗精神，提升学生综合素质。</w:t>
      </w:r>
    </w:p>
    <w:p w14:paraId="1ABE0A9A">
      <w:pPr>
        <w:numPr>
          <w:ilvl w:val="0"/>
          <w:numId w:val="1"/>
        </w:numPr>
        <w:overflowPunct w:val="0"/>
        <w:adjustRightInd w:val="0"/>
        <w:ind w:firstLine="640" w:firstLineChars="200"/>
        <w:outlineLvl w:val="3"/>
        <w:rPr>
          <w:rFonts w:hint="eastAsia" w:asci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/>
          <w:lang w:val="en-US" w:eastAsia="zh-CN"/>
        </w:rPr>
        <w:t>劳动教育（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16学时，1学分</w:t>
      </w:r>
      <w:r>
        <w:rPr>
          <w:rFonts w:hint="eastAsia" w:ascii="仿宋_GB2312"/>
          <w:b w:val="0"/>
          <w:bCs w:val="0"/>
          <w:sz w:val="32"/>
          <w:szCs w:val="32"/>
          <w:lang w:eastAsia="zh-CN"/>
        </w:rPr>
        <w:t>）</w:t>
      </w:r>
    </w:p>
    <w:p w14:paraId="2BD9A12B">
      <w:pPr>
        <w:numPr>
          <w:ilvl w:val="0"/>
          <w:numId w:val="0"/>
        </w:numPr>
        <w:overflowPunct w:val="0"/>
        <w:adjustRightInd w:val="0"/>
        <w:ind w:firstLine="640" w:firstLineChars="200"/>
        <w:rPr>
          <w:rFonts w:hint="eastAsia" w:ascii="仿宋_GB2312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/>
          <w:lang w:eastAsia="zh-CN"/>
        </w:rPr>
        <w:t>贯彻教育部印发的《大中小学劳动教育指导纲要（试行）》文件精神，通过理论讲解和案例分析，从劳动最美丽、劳动最伟大、劳动最崇高、劳动最光荣四个角度，带领学生学习劳动精神、劳模精神、工匠精神、劳动组织、劳动安全和劳动法规等内容，帮助学生正确认识劳动，树立正确的劳动观，增强学生的职业荣誉感和责任感，培育学生积极向上的劳动精神。</w:t>
      </w:r>
    </w:p>
    <w:p w14:paraId="0981FD2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firstLine="640" w:firstLineChars="200"/>
        <w:textAlignment w:val="auto"/>
        <w:outlineLvl w:val="3"/>
        <w:rPr>
          <w:rFonts w:hint="eastAsia" w:ascii="仿宋_GB2312" w:hAnsi="Times New Roman" w:cs="Times New Roman"/>
          <w:color w:val="auto"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22"/>
          <w:lang w:val="en-US" w:eastAsia="zh-CN" w:bidi="ar-SA"/>
        </w:rPr>
        <w:t>（15）</w:t>
      </w:r>
      <w:r>
        <w:rPr>
          <w:rFonts w:hint="eastAsia" w:ascii="仿宋_GB2312" w:hAnsi="Times New Roman" w:cs="Times New Roman"/>
          <w:color w:val="auto"/>
          <w:kern w:val="2"/>
          <w:sz w:val="32"/>
          <w:szCs w:val="22"/>
          <w:lang w:val="en-US" w:eastAsia="zh-CN" w:bidi="ar-SA"/>
        </w:rPr>
        <w:t>军事理论（36学时、2学分）</w:t>
      </w:r>
    </w:p>
    <w:p w14:paraId="0B97C286">
      <w:pPr>
        <w:overflowPunct w:val="0"/>
        <w:adjustRightInd w:val="0"/>
        <w:ind w:firstLine="640" w:firstLineChars="200"/>
        <w:rPr>
          <w:rFonts w:hint="default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default" w:ascii="仿宋_GB2312"/>
          <w:lang w:val="en-US" w:eastAsia="zh-CN"/>
        </w:rPr>
        <w:t>以习近平强军思想和习近平总书记关于教育的重要论述为遵循，全面贯彻党的教育方针、新时代军事战略方针和总体国家安全观，围绕立德树人根本任务和强军目标根本要求，着眼培育和践行社会主义核心价值观，以提升学生国防意识和军事素养为重点，为实施军民融合发展战略和建设国防后备力量服务。</w:t>
      </w:r>
      <w:r>
        <w:rPr>
          <w:rFonts w:hint="default"/>
          <w:lang w:val="en-US" w:eastAsia="zh-CN"/>
        </w:rPr>
        <w:t>通过</w:t>
      </w:r>
      <w:r>
        <w:rPr>
          <w:rFonts w:hint="eastAsia"/>
          <w:lang w:val="en-US" w:eastAsia="zh-CN"/>
        </w:rPr>
        <w:t>军事理论</w:t>
      </w:r>
      <w:r>
        <w:rPr>
          <w:rFonts w:hint="default"/>
          <w:lang w:val="en-US" w:eastAsia="zh-CN"/>
        </w:rPr>
        <w:t>课教学，让学生了解掌握军事基础知识和基本军事技能，增强国防观念、国家安全意识和忧患危机意识，弘扬爱国主义精神、传承红色基因、提高学生综合国防素质。</w:t>
      </w:r>
    </w:p>
    <w:p w14:paraId="338013F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firstLine="640" w:firstLineChars="200"/>
        <w:textAlignment w:val="auto"/>
        <w:outlineLvl w:val="3"/>
        <w:rPr>
          <w:rFonts w:hint="eastAsia" w:ascii="仿宋_GB2312" w:hAnsi="Times New Roman" w:cs="Times New Roman"/>
          <w:color w:val="auto"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22"/>
          <w:lang w:val="en-US" w:eastAsia="zh-CN" w:bidi="ar-SA"/>
        </w:rPr>
        <w:t>（1</w:t>
      </w:r>
      <w:r>
        <w:rPr>
          <w:rFonts w:hint="eastAsia" w:ascii="仿宋_GB2312" w:hAnsi="Times New Roman" w:cs="Times New Roman"/>
          <w:color w:val="auto"/>
          <w:kern w:val="2"/>
          <w:sz w:val="32"/>
          <w:szCs w:val="22"/>
          <w:lang w:val="en-US" w:eastAsia="zh-CN" w:bidi="ar-SA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22"/>
          <w:lang w:val="en-US" w:eastAsia="zh-CN" w:bidi="ar-SA"/>
        </w:rPr>
        <w:t>）</w:t>
      </w:r>
      <w:r>
        <w:rPr>
          <w:rFonts w:hint="eastAsia" w:ascii="仿宋_GB2312" w:hAnsi="Times New Roman" w:cs="Times New Roman"/>
          <w:color w:val="auto"/>
          <w:kern w:val="2"/>
          <w:sz w:val="32"/>
          <w:szCs w:val="22"/>
          <w:lang w:val="en-US" w:eastAsia="zh-CN" w:bidi="ar-SA"/>
        </w:rPr>
        <w:t>高等数学（32学时、2学分）</w:t>
      </w:r>
    </w:p>
    <w:p w14:paraId="4871A969">
      <w:pPr>
        <w:overflowPunct w:val="0"/>
        <w:adjustRightInd w:val="0"/>
        <w:ind w:firstLine="640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Times New Roman" w:hAnsi="Times New Roman" w:cs="Times New Roman"/>
          <w:lang w:val="en-US" w:eastAsia="zh-CN"/>
        </w:rPr>
        <w:t>通过对高等数学的基础理论和基本技能等内容的学习，着重培养学生的抽象思维能力、逻辑推理能力、空间想象能力、实验及观察能力以及综合运用所学知识分析问题解决问题的能力，也是开展数学素质教育、培养学习者创新精神和创新能力的重要课程。</w:t>
      </w:r>
    </w:p>
    <w:p w14:paraId="63FCC04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3" w:firstLineChars="200"/>
        <w:outlineLvl w:val="2"/>
        <w:rPr>
          <w:rFonts w:hint="eastAsia" w:ascii="仿宋_GB2312" w:hAnsi="Times New Roman" w:cs="Times New Roman"/>
          <w:b/>
          <w:bCs/>
          <w:lang w:val="en-US" w:eastAsia="zh-CN"/>
        </w:rPr>
      </w:pPr>
      <w:r>
        <w:rPr>
          <w:rFonts w:hint="eastAsia" w:ascii="仿宋_GB2312" w:hAnsi="Times New Roman" w:cs="Times New Roman"/>
          <w:b/>
          <w:bCs/>
          <w:lang w:val="en-US" w:eastAsia="zh-CN"/>
        </w:rPr>
        <w:t>2.</w:t>
      </w:r>
      <w:r>
        <w:rPr>
          <w:rFonts w:hint="eastAsia" w:ascii="仿宋_GB2312" w:cs="Times New Roman"/>
          <w:b/>
          <w:bCs/>
          <w:lang w:val="en-US" w:eastAsia="zh-CN"/>
        </w:rPr>
        <w:t>公共选修课</w:t>
      </w:r>
    </w:p>
    <w:p w14:paraId="6A475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（1）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人工智能基础（16学时，1学分）</w:t>
      </w:r>
    </w:p>
    <w:p w14:paraId="0A7F8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highlight w:val="none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是一门公共基础选修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旨在培养学生掌握人工智能核心技术的应用能力，课程定位突出实践性与职业导向。课程内容通常包括：基础理论知识（如机器学习、深度学习原理）、实用技术（如Python编程、框架使用）、应用场景（如计算机视觉、自然语言处理）、实践项目（如模型训练、系统部署）。课程强调实践应用，注重培养技术应用能力和职业素养，为学生在智慧交通、数字营销等领域的就业打下基础。</w:t>
      </w:r>
    </w:p>
    <w:p w14:paraId="4436E8B8"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（2）</w:t>
      </w:r>
      <w:r>
        <w:rPr>
          <w:rFonts w:hint="eastAsia"/>
          <w:lang w:val="en-US" w:eastAsia="zh-CN"/>
        </w:rPr>
        <w:t>时间管理（16学时，1学分）</w:t>
      </w:r>
    </w:p>
    <w:p w14:paraId="47138007">
      <w:pPr>
        <w:numPr>
          <w:ilvl w:val="0"/>
          <w:numId w:val="0"/>
        </w:numPr>
        <w:ind w:firstLine="64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本课程旨在培养学生高效规划与利用时间的能力，以适应职业学习与未来工作的双重需求。课程核心内容包括核心理念与方法、实用工具与技能、职业素养融合。课程通过案例研讨、工具实操和习惯养成训练。培养学生自我管理与自律意识，平衡学习、实践与休息，助力学生提升效率的同时培养终身受益的规划能力‌。</w:t>
      </w:r>
    </w:p>
    <w:p w14:paraId="61FA75FC">
      <w:pPr>
        <w:numPr>
          <w:ilvl w:val="0"/>
          <w:numId w:val="0"/>
        </w:numPr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（3）</w:t>
      </w:r>
      <w:r>
        <w:rPr>
          <w:rFonts w:hint="eastAsia"/>
          <w:lang w:val="en-US" w:eastAsia="zh-CN"/>
        </w:rPr>
        <w:t>沟通的艺术（16学时，1学分）</w:t>
      </w:r>
    </w:p>
    <w:p w14:paraId="03EA5089">
      <w:pPr>
        <w:numPr>
          <w:ilvl w:val="0"/>
          <w:numId w:val="0"/>
        </w:numPr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课程旨在系统培养学生的高效沟通能力，融合心理学、美学与管理学理论，适用于职场协作、人际关系及跨文化交流等多元场景。课程内容涵盖‌沟通基础理论‌（如非语言表达、情绪管理）‌，‌核心技巧训练‌（倾听、表达、冲突解决）‌，以及‌复杂场景应用‌（跨部门协作、客户谈判、家庭沟通）‌。通过案例研讨、角色扮演和情境模拟等实战教学方法‌，帮助学生突破沟通障碍，提升信任建立与影响力，实现个人与职业关系的优化发展。</w:t>
      </w:r>
    </w:p>
    <w:p w14:paraId="676206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cs="Times New Roman"/>
          <w:highlight w:val="none"/>
          <w:lang w:val="en-US" w:eastAsia="zh-CN"/>
        </w:rPr>
      </w:pPr>
      <w:bookmarkStart w:id="11" w:name="OLE_LINK6"/>
      <w:r>
        <w:rPr>
          <w:rFonts w:hint="eastAsia" w:ascii="仿宋_GB2312" w:cs="Times New Roman"/>
          <w:highlight w:val="none"/>
          <w:lang w:val="en-US" w:eastAsia="zh-CN"/>
        </w:rPr>
        <w:t>（4）</w:t>
      </w:r>
      <w:bookmarkEnd w:id="11"/>
      <w:r>
        <w:rPr>
          <w:rFonts w:hint="eastAsia" w:ascii="仿宋_GB2312" w:cs="Times New Roman"/>
          <w:highlight w:val="none"/>
          <w:lang w:val="en-US" w:eastAsia="zh-CN"/>
        </w:rPr>
        <w:t>情绪管理（16学时，1学分）</w:t>
      </w:r>
    </w:p>
    <w:p w14:paraId="32F6E3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是一门公共基础选修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cs="Times New Roman"/>
          <w:highlight w:val="none"/>
          <w:lang w:val="en-US" w:eastAsia="zh-CN"/>
        </w:rPr>
        <w:t>旨在帮助学生掌握情绪调节技巧，提升心理适应能力。课程内容包括情绪认知、压力管理、冲突化解、积极心态培养及人际沟通策略，通过案例分析、情景模拟、团体互动等实践方式，引导学生科学应对负面情绪，增强抗压能力与情商水平。适用于学生应对学业、职场及人际关系的挑战，培养理性平和的健康心态，为个人成长与职业发展奠定基础。</w:t>
      </w:r>
    </w:p>
    <w:p w14:paraId="14C17B81"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（5）</w:t>
      </w:r>
      <w:bookmarkStart w:id="12" w:name="OLE_LINK3"/>
      <w:r>
        <w:rPr>
          <w:rFonts w:hint="eastAsia"/>
          <w:lang w:val="en-US" w:eastAsia="zh-CN"/>
        </w:rPr>
        <w:t>公共关系礼仪实务</w:t>
      </w:r>
      <w:bookmarkEnd w:id="12"/>
      <w:r>
        <w:rPr>
          <w:rFonts w:hint="eastAsia"/>
          <w:lang w:val="en-US" w:eastAsia="zh-CN"/>
        </w:rPr>
        <w:t>（16学时，1学分）</w:t>
      </w:r>
    </w:p>
    <w:p w14:paraId="4E6564FA">
      <w:pPr>
        <w:numPr>
          <w:ilvl w:val="0"/>
          <w:numId w:val="0"/>
        </w:numPr>
        <w:ind w:firstLine="64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本课程旨在培养学生的公共关系素养，训练和提高学生的公共关系技能</w:t>
      </w:r>
      <w:r>
        <w:rPr>
          <w:rFonts w:hint="default"/>
          <w:lang w:val="en-US" w:eastAsia="zh-CN"/>
        </w:rPr>
        <w:t>。</w:t>
      </w:r>
      <w:r>
        <w:rPr>
          <w:rFonts w:hint="eastAsia"/>
          <w:lang w:val="en-US" w:eastAsia="zh-CN"/>
        </w:rPr>
        <w:t>课程内容涵盖了公共关系的多个方面，包括公共关系的起源与发展、人员及机构设置、工作程序、组织公共关系处理、工作类型、与CIS战略的关系、专题活动、文书写作以及各类公共关系技巧和礼仪。</w:t>
      </w:r>
      <w:r>
        <w:rPr>
          <w:rFonts w:hint="default"/>
          <w:lang w:val="en-US" w:eastAsia="zh-CN"/>
        </w:rPr>
        <w:t>通过本课程的学习</w:t>
      </w:r>
      <w:r>
        <w:rPr>
          <w:rFonts w:hint="eastAsia"/>
          <w:lang w:val="en-US" w:eastAsia="zh-CN"/>
        </w:rPr>
        <w:t>，学生能够全面掌握公共关系领域的知识与技能，为未来的职业生涯打下坚实的基础。</w:t>
      </w:r>
    </w:p>
    <w:p w14:paraId="1C79A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</w:rPr>
      </w:pPr>
      <w:bookmarkStart w:id="13" w:name="_Toc28510"/>
      <w:r>
        <w:rPr>
          <w:rFonts w:hint="eastAsia" w:ascii="楷体_GB2312" w:hAnsi="楷体_GB2312" w:eastAsia="楷体_GB2312" w:cs="楷体_GB2312"/>
          <w:b/>
          <w:bCs/>
          <w:lang w:eastAsia="zh-CN"/>
        </w:rPr>
        <w:t>（二）专业（技能）课程</w:t>
      </w:r>
      <w:bookmarkEnd w:id="13"/>
    </w:p>
    <w:p w14:paraId="4A3B109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3" w:firstLineChars="200"/>
        <w:outlineLvl w:val="2"/>
        <w:rPr>
          <w:rFonts w:hint="eastAsia" w:ascii="仿宋_GB2312" w:hAnsi="Times New Roman" w:cs="Times New Roman"/>
          <w:b/>
          <w:bCs/>
          <w:lang w:val="en-US" w:eastAsia="zh-CN"/>
        </w:rPr>
      </w:pPr>
      <w:r>
        <w:rPr>
          <w:rFonts w:hint="eastAsia" w:ascii="仿宋_GB2312" w:hAnsi="Times New Roman" w:cs="Times New Roman"/>
          <w:b/>
          <w:bCs/>
          <w:lang w:val="en-US" w:eastAsia="zh-CN"/>
        </w:rPr>
        <w:t>1.专业基础课</w:t>
      </w:r>
    </w:p>
    <w:p w14:paraId="64D75F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（1）C语言程序设计（</w:t>
      </w:r>
      <w:r>
        <w:rPr>
          <w:rFonts w:hint="eastAsia" w:ascii="仿宋_GB2312" w:cs="Times New Roman"/>
          <w:lang w:val="en-US" w:eastAsia="zh-CN"/>
        </w:rPr>
        <w:t>6</w:t>
      </w:r>
      <w:r>
        <w:rPr>
          <w:rFonts w:hint="eastAsia" w:ascii="仿宋_GB2312" w:hAnsi="Times New Roman" w:cs="Times New Roman"/>
          <w:lang w:eastAsia="zh-CN"/>
        </w:rPr>
        <w:t>4学时，</w:t>
      </w:r>
      <w:r>
        <w:rPr>
          <w:rFonts w:hint="eastAsia" w:ascii="仿宋_GB2312" w:cs="Times New Roman"/>
          <w:lang w:val="en-US" w:eastAsia="zh-CN"/>
        </w:rPr>
        <w:t>4</w:t>
      </w:r>
      <w:r>
        <w:rPr>
          <w:rFonts w:hint="eastAsia" w:ascii="仿宋_GB2312" w:hAnsi="Times New Roman" w:cs="Times New Roman"/>
          <w:lang w:eastAsia="zh-CN"/>
        </w:rPr>
        <w:t>学分）</w:t>
      </w:r>
    </w:p>
    <w:p w14:paraId="51207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本课程是一门基础课程，主要培养编程基础知识、编程思想、基本编程能力三方面内容。课程进行规范的编程基本训练，打牢本专业的基本知识。</w:t>
      </w:r>
    </w:p>
    <w:p w14:paraId="734F4E4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计算机网络基础（54学时，3学分）</w:t>
      </w:r>
    </w:p>
    <w:p w14:paraId="0AD7AB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本课程是一门基础课程，主要介绍计算机专业基本的网络部分内容。本课程全面介绍了网络通讯、网络协议，以及局域网等方面的知识，扩充了专业基本知识背景。</w:t>
      </w:r>
    </w:p>
    <w:p w14:paraId="6CBD5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3</w:t>
      </w:r>
      <w:r>
        <w:rPr>
          <w:rFonts w:hint="eastAsia" w:ascii="仿宋_GB2312" w:hAnsi="Times New Roman" w:cs="Times New Roman"/>
          <w:lang w:eastAsia="zh-CN"/>
        </w:rPr>
        <w:t>）数据结构与算法分析</w:t>
      </w:r>
      <w:r>
        <w:rPr>
          <w:rFonts w:hint="eastAsia" w:ascii="仿宋_GB2312" w:cs="Times New Roman"/>
          <w:lang w:eastAsia="zh-CN"/>
        </w:rPr>
        <w:t>（</w:t>
      </w:r>
      <w:r>
        <w:rPr>
          <w:rFonts w:hint="eastAsia" w:ascii="仿宋_GB2312" w:hAnsi="Times New Roman" w:cs="Times New Roman"/>
          <w:lang w:eastAsia="zh-CN"/>
        </w:rPr>
        <w:t>64学时、4学分</w:t>
      </w:r>
      <w:r>
        <w:rPr>
          <w:rFonts w:hint="eastAsia" w:ascii="仿宋_GB2312" w:cs="Times New Roman"/>
          <w:lang w:eastAsia="zh-CN"/>
        </w:rPr>
        <w:t>）</w:t>
      </w:r>
    </w:p>
    <w:p w14:paraId="11BC9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本课程是</w:t>
      </w:r>
      <w:r>
        <w:rPr>
          <w:rFonts w:hint="eastAsia" w:ascii="仿宋_GB2312" w:cs="Times New Roman"/>
          <w:lang w:eastAsia="zh-CN"/>
        </w:rPr>
        <w:t>软件技术</w:t>
      </w:r>
      <w:r>
        <w:rPr>
          <w:rFonts w:hint="eastAsia" w:ascii="仿宋_GB2312" w:hAnsi="Times New Roman" w:cs="Times New Roman"/>
          <w:lang w:eastAsia="zh-CN"/>
        </w:rPr>
        <w:t>专业基础课程，主要针对程序设计与问题求解的核心需求，系统讲授数据结构设计、算法分析及效率优化方法，开展计算思维与逻辑推理能力教育，引导学生掌握数据组织与算法设计技能，提升问题建模与高效求解的职业素养。</w:t>
      </w:r>
    </w:p>
    <w:p w14:paraId="3D5F3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4</w:t>
      </w:r>
      <w:r>
        <w:rPr>
          <w:rFonts w:hint="eastAsia" w:ascii="仿宋_GB2312" w:hAnsi="Times New Roman" w:cs="Times New Roman"/>
          <w:lang w:eastAsia="zh-CN"/>
        </w:rPr>
        <w:t>）Python程序设计（</w:t>
      </w:r>
      <w:r>
        <w:rPr>
          <w:rFonts w:hint="eastAsia" w:ascii="仿宋_GB2312" w:cs="Times New Roman"/>
          <w:lang w:val="en-US" w:eastAsia="zh-CN"/>
        </w:rPr>
        <w:t>64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4</w:t>
      </w:r>
      <w:r>
        <w:rPr>
          <w:rFonts w:hint="eastAsia" w:ascii="仿宋_GB2312" w:hAnsi="Times New Roman" w:cs="Times New Roman"/>
          <w:lang w:eastAsia="zh-CN"/>
        </w:rPr>
        <w:t>学分）</w:t>
      </w:r>
    </w:p>
    <w:p w14:paraId="6C4CB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是一门专业基础课程，主要学习程序设计语言的基础知识、结构化程序设计的基本方法、面向对象程序设计的概念和基本方法，使学生对计算机程序设计有一个基本认识，掌握Python程序设计的基本概念、原理与方法，能够对一般应用问题进行抽象、建模并具体编写程序解决问题。通过上机操作使学生掌握Python脚本解释执行的方法，以及程序运行、测试和调试的方法，并理解相关概念。要求学生养成良好的编程风格，并能够使用常见的第三方库函数进行扩展应用，为后期的自动化运维和网络编程等提供基础。</w:t>
      </w:r>
    </w:p>
    <w:p w14:paraId="51BE4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5</w:t>
      </w:r>
      <w:r>
        <w:rPr>
          <w:rFonts w:hint="eastAsia" w:ascii="仿宋_GB2312" w:hAnsi="Times New Roman" w:cs="Times New Roman"/>
          <w:lang w:eastAsia="zh-CN"/>
        </w:rPr>
        <w:t>）Linux操作系统（</w:t>
      </w:r>
      <w:r>
        <w:rPr>
          <w:rFonts w:hint="eastAsia" w:ascii="仿宋_GB2312" w:cs="Times New Roman"/>
          <w:lang w:val="en-US" w:eastAsia="zh-CN"/>
        </w:rPr>
        <w:t>64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4</w:t>
      </w:r>
      <w:r>
        <w:rPr>
          <w:rFonts w:hint="eastAsia" w:ascii="仿宋_GB2312" w:hAnsi="Times New Roman" w:cs="Times New Roman"/>
          <w:lang w:eastAsia="zh-CN"/>
        </w:rPr>
        <w:t>学分）</w:t>
      </w:r>
    </w:p>
    <w:p w14:paraId="0F75B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主要学习Linux操作系统的概念、组成以及系统的日常管理所需要的知识，学习SHELL的常用命令、文件系统管理和磁盘管理的常用命令，vi编辑器的使用等、基本的进程控制、复杂的进程通信、网络管理的基本知识，包括WWW服务器、DNS服务器、FTP服务器和DHCP服务器、防火墙的安装、配置和使用。为学生今后学习云计算技术、网络运维等打下基础。</w:t>
      </w:r>
    </w:p>
    <w:p w14:paraId="615EEA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6</w:t>
      </w:r>
      <w:r>
        <w:rPr>
          <w:rFonts w:hint="eastAsia" w:ascii="仿宋_GB2312" w:hAnsi="Times New Roman" w:cs="Times New Roman"/>
          <w:lang w:eastAsia="zh-CN"/>
        </w:rPr>
        <w:t>）数据库基础（</w:t>
      </w:r>
      <w:r>
        <w:rPr>
          <w:rFonts w:hint="eastAsia" w:ascii="仿宋_GB2312" w:cs="Times New Roman"/>
          <w:lang w:val="en-US" w:eastAsia="zh-CN"/>
        </w:rPr>
        <w:t>64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4</w:t>
      </w:r>
      <w:r>
        <w:rPr>
          <w:rFonts w:hint="eastAsia" w:ascii="仿宋_GB2312" w:hAnsi="Times New Roman" w:cs="Times New Roman"/>
          <w:lang w:eastAsia="zh-CN"/>
        </w:rPr>
        <w:t>学分）</w:t>
      </w:r>
    </w:p>
    <w:p w14:paraId="650C4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主要学习数据库的使用、设计、管理与维护方法，要求能熟练使用图形化管理工具对数据库进行用户、日志、备份等日常管理，熟练运用工具和命令两种方式实现对数据库、表、查询、视图、索引的增删改查等操作，初步掌握存储过程、存储函数、触发器等数据库编程的方法，有较强的动手能力、实践能力、适应职业变化的能力和继续学习的能力。为学生将来从事服务器搭建、网络系统安全等提供基础。</w:t>
      </w:r>
    </w:p>
    <w:p w14:paraId="04212C0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3" w:firstLineChars="200"/>
        <w:outlineLvl w:val="2"/>
        <w:rPr>
          <w:rFonts w:hint="eastAsia" w:ascii="仿宋_GB2312" w:hAnsi="Times New Roman" w:cs="Times New Roman"/>
          <w:b/>
          <w:bCs/>
          <w:lang w:val="en-US" w:eastAsia="zh-CN"/>
        </w:rPr>
      </w:pPr>
      <w:r>
        <w:rPr>
          <w:rFonts w:hint="eastAsia" w:ascii="仿宋_GB2312" w:hAnsi="Times New Roman" w:cs="Times New Roman"/>
          <w:b/>
          <w:bCs/>
          <w:lang w:val="en-US" w:eastAsia="zh-CN"/>
        </w:rPr>
        <w:t>2.专业核心课</w:t>
      </w:r>
    </w:p>
    <w:p w14:paraId="5FA52E53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2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（1）网页设计与制作（</w:t>
      </w:r>
      <w:r>
        <w:rPr>
          <w:rFonts w:hint="eastAsia" w:ascii="仿宋_GB2312" w:cs="Times New Roman"/>
          <w:lang w:val="en-US" w:eastAsia="zh-CN"/>
        </w:rPr>
        <w:t>64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4</w:t>
      </w:r>
      <w:r>
        <w:rPr>
          <w:rFonts w:hint="eastAsia" w:ascii="仿宋_GB2312" w:hAnsi="Times New Roman" w:cs="Times New Roman"/>
          <w:lang w:eastAsia="zh-CN"/>
        </w:rPr>
        <w:t>学分）</w:t>
      </w:r>
    </w:p>
    <w:p w14:paraId="7BE1171B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2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完成静态网站开发和维护的实际工作能力为学习目标，要求学生掌握HTML语言的文档结构和基本标签使用。能综合应用Dreamweaver，学习基本的HTML和CSS技术制作网页，掌握规划、开发、发布和管理静态网站的专业知识和技能。</w:t>
      </w:r>
    </w:p>
    <w:p w14:paraId="53E6FC3B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0" w:firstLineChars="200"/>
        <w:outlineLvl w:val="2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JavaScript程序设计基础（</w:t>
      </w:r>
      <w:r>
        <w:rPr>
          <w:rFonts w:hint="eastAsia" w:ascii="仿宋_GB2312" w:cs="Times New Roman"/>
          <w:lang w:val="en-US" w:eastAsia="zh-CN"/>
        </w:rPr>
        <w:t>64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4</w:t>
      </w:r>
      <w:r>
        <w:rPr>
          <w:rFonts w:hint="eastAsia" w:ascii="仿宋_GB2312" w:hAnsi="Times New Roman" w:cs="Times New Roman"/>
          <w:lang w:eastAsia="zh-CN"/>
        </w:rPr>
        <w:t>学分）</w:t>
      </w:r>
    </w:p>
    <w:p w14:paraId="02879E6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2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是一门专业必修课，涉及JavaScript语言基础、JavaScript与CSS交上、DOM编程、表单验证、JavaScript动画效果等内容，通过本课程的学习，学生能学握.JavaScript语言的基本编程思想，能熟练利用JavaScript.控制用页面各级元素，实现Web前端的验证、动态展示等任务，使学生形成一定的学习能力、沟通与团队的协作能力，形成良好的思考问题、分析向题和解决问题的能力，养成良好的职业素养。</w:t>
      </w:r>
    </w:p>
    <w:p w14:paraId="7A964160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0" w:firstLineChars="200"/>
        <w:outlineLvl w:val="2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JAVA程序设计（</w:t>
      </w:r>
      <w:r>
        <w:rPr>
          <w:rFonts w:hint="eastAsia" w:ascii="仿宋_GB2312" w:cs="Times New Roman"/>
          <w:lang w:val="en-US" w:eastAsia="zh-CN"/>
        </w:rPr>
        <w:t>64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4</w:t>
      </w:r>
      <w:r>
        <w:rPr>
          <w:rFonts w:hint="eastAsia" w:ascii="仿宋_GB2312" w:hAnsi="Times New Roman" w:cs="Times New Roman"/>
          <w:lang w:eastAsia="zh-CN"/>
        </w:rPr>
        <w:t>学分）</w:t>
      </w:r>
    </w:p>
    <w:p w14:paraId="4A5E30F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2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介绍Java语言的基本数据类型、语句、Object以及String等常用类型及其方法，介绍数组、类、接口、抽象类、Lambda表达式等的定义和使用方法。介绍继承、聚合、重载、多态、泛型等面向对象的概念。介绍异常类型以及异常处理的机制与方法，介绍多线程与并行程序设计的方法，本课程是后续课程的基础，属于核心课程。</w:t>
      </w:r>
    </w:p>
    <w:p w14:paraId="1F59EE62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0" w:firstLineChars="200"/>
        <w:outlineLvl w:val="2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HTML5前端开发(64学时，4学分)</w:t>
      </w:r>
    </w:p>
    <w:p w14:paraId="71A857A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2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介绍了开发Web前端网页应具备的基础知识,包括HTML5、表单、画布、音频和视频、地理定位、Web存储的应用API等知识。通过理论教学和上机练习训练学生编写程序的熟练度和规范性;在项目经验的积累方面,通过完成项目案例,增加对实际软件项目开发的经验。</w:t>
      </w:r>
      <w:r>
        <w:rPr>
          <w:rFonts w:hint="eastAsia" w:ascii="仿宋_GB2312" w:hAnsi="Times New Roman" w:cs="Times New Roman"/>
          <w:lang w:eastAsia="zh-CN"/>
        </w:rPr>
        <w:br w:type="textWrapping"/>
      </w:r>
      <w:r>
        <w:rPr>
          <w:rFonts w:hint="eastAsia" w:ascii="仿宋_GB2312" w:cs="Times New Roman"/>
          <w:lang w:val="en-US" w:eastAsia="zh-CN"/>
        </w:rPr>
        <w:tab/>
      </w:r>
      <w:r>
        <w:rPr>
          <w:rFonts w:hint="eastAsia" w:ascii="仿宋_GB2312" w:hAnsi="Times New Roman" w:cs="Times New Roman"/>
          <w:lang w:eastAsia="zh-CN"/>
        </w:rPr>
        <w:t>（5）PHP程序设计(64学时，4学分)</w:t>
      </w:r>
    </w:p>
    <w:p w14:paraId="5D8A330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2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的内容主要包括PHP的基本语法、输入输出、表单数据获取、通过命令行和PHP脚本访问MySQL数据库、Web安全相关内容以及包括Ajax和开发框架在内的一些全新的Web开发技术和方法。通过此门课程的学习，使学生掌握基本的PHP开发的技术和方法，其中包括静态页面开发和动态页面开发;熟悉PHP开发的基本工具的使用及开发环境的安装配置:了解Web开发领域的前沿技术方法，培养学生动手实践的能力。</w:t>
      </w:r>
    </w:p>
    <w:p w14:paraId="67307AE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Chars="200"/>
        <w:outlineLvl w:val="2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6</w:t>
      </w:r>
      <w:r>
        <w:rPr>
          <w:rFonts w:hint="eastAsia" w:ascii="仿宋_GB2312" w:cs="Times New Roman"/>
          <w:lang w:eastAsia="zh-CN"/>
        </w:rPr>
        <w:t>）</w:t>
      </w:r>
      <w:r>
        <w:rPr>
          <w:rFonts w:hint="eastAsia" w:ascii="仿宋_GB2312" w:hAnsi="Times New Roman" w:cs="Times New Roman"/>
          <w:lang w:eastAsia="zh-CN"/>
        </w:rPr>
        <w:t>web前端ajax开发</w:t>
      </w:r>
      <w:bookmarkStart w:id="14" w:name="OLE_LINK2"/>
      <w:r>
        <w:rPr>
          <w:rFonts w:hint="eastAsia" w:ascii="仿宋_GB2312" w:hAnsi="Times New Roman" w:cs="Times New Roman"/>
          <w:lang w:eastAsia="zh-CN"/>
        </w:rPr>
        <w:t>(64学时，4学分)</w:t>
      </w:r>
      <w:bookmarkEnd w:id="14"/>
    </w:p>
    <w:p w14:paraId="12C46EA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420" w:firstLineChars="0"/>
        <w:outlineLvl w:val="2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主要介绍AJAX等异步通讯等使用方法。主要讲授如何通过AJAX，JavaScript可使用JavaScript的XMLHttpRequest对象来直接与服务器进行通信。由于AJAX是一种使用现有标准的新方法，这门课更加重视实操训练。并结合jquery等技术，扩展vue等前端框架。</w:t>
      </w:r>
    </w:p>
    <w:p w14:paraId="14ED50A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Chars="200"/>
        <w:outlineLvl w:val="2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7</w:t>
      </w:r>
      <w:r>
        <w:rPr>
          <w:rFonts w:hint="eastAsia" w:ascii="仿宋_GB2312" w:cs="Times New Roman"/>
          <w:lang w:eastAsia="zh-CN"/>
        </w:rPr>
        <w:t>）</w:t>
      </w:r>
      <w:r>
        <w:rPr>
          <w:rFonts w:hint="eastAsia" w:ascii="仿宋_GB2312" w:hAnsi="Times New Roman" w:cs="Times New Roman"/>
          <w:lang w:eastAsia="zh-CN"/>
        </w:rPr>
        <w:t>软件工程(64学时，4学分)</w:t>
      </w:r>
    </w:p>
    <w:p w14:paraId="53FB6A2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739" w:firstLineChars="231"/>
        <w:outlineLvl w:val="2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软件工程是一门指导计算机软件开发和维护的工程学科。通过本课程的学习，使学生掌握软件开发与维护的原则、技术及方法，了解软件经济学，软件管理学的基本理论。并通过与本课程同步的“软件工程课程设计”，进行软件开发的实践训练，培养综合性的软件设计能力，提高分析和解决问题的能力。</w:t>
      </w:r>
    </w:p>
    <w:p w14:paraId="31969180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3" w:firstLineChars="200"/>
        <w:outlineLvl w:val="2"/>
        <w:rPr>
          <w:rFonts w:hint="eastAsia" w:ascii="仿宋_GB2312" w:hAnsi="Times New Roman" w:cs="Times New Roman"/>
          <w:b/>
          <w:bCs/>
          <w:lang w:val="en-US" w:eastAsia="zh-CN"/>
        </w:rPr>
      </w:pPr>
      <w:r>
        <w:rPr>
          <w:rFonts w:hint="eastAsia" w:ascii="仿宋_GB2312" w:hAnsi="Times New Roman" w:cs="Times New Roman"/>
          <w:b/>
          <w:bCs/>
          <w:lang w:val="en-US" w:eastAsia="zh-CN"/>
        </w:rPr>
        <w:t>3.专业</w:t>
      </w:r>
      <w:r>
        <w:rPr>
          <w:rFonts w:hint="eastAsia" w:ascii="仿宋_GB2312" w:cs="Times New Roman"/>
          <w:b/>
          <w:bCs/>
          <w:lang w:val="en-US" w:eastAsia="zh-CN"/>
        </w:rPr>
        <w:t>拓展</w:t>
      </w:r>
      <w:r>
        <w:rPr>
          <w:rFonts w:hint="eastAsia" w:ascii="仿宋_GB2312" w:hAnsi="Times New Roman" w:cs="Times New Roman"/>
          <w:b/>
          <w:bCs/>
          <w:lang w:val="en-US" w:eastAsia="zh-CN"/>
        </w:rPr>
        <w:t>课</w:t>
      </w:r>
    </w:p>
    <w:p w14:paraId="23EB6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highlight w:val="none"/>
          <w:lang w:val="en-US" w:eastAsia="zh-CN"/>
        </w:rPr>
      </w:pPr>
      <w:r>
        <w:rPr>
          <w:rFonts w:hint="eastAsia" w:ascii="仿宋_GB2312" w:hAnsi="Times New Roman" w:cs="Times New Roman"/>
          <w:lang w:eastAsia="zh-CN"/>
        </w:rPr>
        <w:t>（1）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图形图像处理</w:t>
      </w:r>
      <w:r>
        <w:rPr>
          <w:rFonts w:hint="eastAsia" w:ascii="仿宋_GB2312" w:cs="Times New Roman"/>
          <w:highlight w:val="none"/>
          <w:lang w:val="en-US" w:eastAsia="zh-CN"/>
        </w:rPr>
        <w:t>（64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学时、</w:t>
      </w:r>
      <w:r>
        <w:rPr>
          <w:rFonts w:hint="eastAsia" w:ascii="仿宋_GB2312" w:cs="Times New Roman"/>
          <w:highlight w:val="none"/>
          <w:lang w:val="en-US" w:eastAsia="zh-CN"/>
        </w:rPr>
        <w:t>4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学分</w:t>
      </w:r>
      <w:r>
        <w:rPr>
          <w:rFonts w:hint="eastAsia" w:ascii="仿宋_GB2312" w:cs="Times New Roman"/>
          <w:highlight w:val="none"/>
          <w:lang w:val="en-US" w:eastAsia="zh-CN"/>
        </w:rPr>
        <w:t>）</w:t>
      </w:r>
    </w:p>
    <w:p w14:paraId="2E325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highlight w:val="none"/>
          <w:lang w:val="en-US" w:eastAsia="zh-CN"/>
        </w:rPr>
      </w:pPr>
      <w:r>
        <w:rPr>
          <w:rFonts w:hint="eastAsia" w:ascii="仿宋_GB2312" w:hAnsi="Times New Roman" w:cs="Times New Roman"/>
          <w:highlight w:val="none"/>
          <w:lang w:val="en-US" w:eastAsia="zh-CN"/>
        </w:rPr>
        <w:t>本课程是</w:t>
      </w:r>
      <w:r>
        <w:rPr>
          <w:rFonts w:hint="eastAsia" w:ascii="仿宋_GB2312" w:cs="Times New Roman"/>
          <w:highlight w:val="none"/>
          <w:lang w:val="en-US" w:eastAsia="zh-CN"/>
        </w:rPr>
        <w:t>软件技术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专业拓展课程，主要针对数字媒体处理与视觉设计的实际需求，系统讲授Photoshop的应用、图像处理技术及视觉设计原理，开展审美能力与设计规范教育，引导学生掌握图形图像专业处理技能，提升视觉表达与创意设计的职业素养。</w:t>
      </w:r>
    </w:p>
    <w:p w14:paraId="71A82CB7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default" w:ascii="仿宋_GB2312" w:hAnsi="Times New Roman" w:cs="Times New Roman"/>
          <w:highlight w:val="none"/>
          <w:lang w:val="en-US" w:eastAsia="zh-CN"/>
        </w:rPr>
      </w:pPr>
      <w:r>
        <w:rPr>
          <w:rFonts w:hint="default" w:ascii="仿宋_GB2312" w:hAnsi="Times New Roman" w:cs="Times New Roman"/>
          <w:highlight w:val="none"/>
          <w:lang w:val="en-US" w:eastAsia="zh-CN"/>
        </w:rPr>
        <w:t>软件测试(</w:t>
      </w:r>
      <w:r>
        <w:rPr>
          <w:rFonts w:hint="eastAsia" w:ascii="仿宋_GB2312" w:cs="Times New Roman"/>
          <w:highlight w:val="none"/>
          <w:lang w:val="en-US" w:eastAsia="zh-CN"/>
        </w:rPr>
        <w:t>64</w:t>
      </w:r>
      <w:r>
        <w:rPr>
          <w:rFonts w:hint="default" w:ascii="仿宋_GB2312" w:hAnsi="Times New Roman" w:cs="Times New Roman"/>
          <w:highlight w:val="none"/>
          <w:lang w:val="en-US" w:eastAsia="zh-CN"/>
        </w:rPr>
        <w:t>学时，4学分)</w:t>
      </w:r>
    </w:p>
    <w:p w14:paraId="7C9166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textAlignment w:val="auto"/>
        <w:rPr>
          <w:rFonts w:hint="default" w:ascii="仿宋_GB2312" w:hAnsi="Times New Roman" w:cs="Times New Roman"/>
          <w:highlight w:val="none"/>
          <w:lang w:val="en-US" w:eastAsia="zh-CN"/>
        </w:rPr>
      </w:pPr>
      <w:r>
        <w:rPr>
          <w:rFonts w:hint="default" w:ascii="仿宋_GB2312" w:hAnsi="Times New Roman" w:cs="Times New Roman"/>
          <w:highlight w:val="none"/>
          <w:lang w:val="en-US" w:eastAsia="zh-CN"/>
        </w:rPr>
        <w:t>本课程培养掌握一定的专业理论知识、计算机软件编程与测试的基本知识和基本技能，掌握实用的软件测试理论、软件测试管理工具、故障跟踪方法、软件质量度量方法，能独立完成软件测试、软件代码设计和编写、维护的高素质技能型专门人才。</w:t>
      </w:r>
    </w:p>
    <w:p w14:paraId="6BE0729D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default" w:ascii="仿宋_GB2312" w:hAnsi="Times New Roman" w:cs="Times New Roman"/>
          <w:highlight w:val="none"/>
          <w:lang w:val="en-US" w:eastAsia="zh-CN"/>
        </w:rPr>
      </w:pPr>
      <w:r>
        <w:rPr>
          <w:rFonts w:hint="default" w:ascii="仿宋_GB2312" w:hAnsi="Times New Roman" w:cs="Times New Roman"/>
          <w:highlight w:val="none"/>
          <w:lang w:val="en-US" w:eastAsia="zh-CN"/>
        </w:rPr>
        <w:t>移动互联应用开发(</w:t>
      </w:r>
      <w:r>
        <w:rPr>
          <w:rFonts w:hint="eastAsia" w:ascii="仿宋_GB2312" w:cs="Times New Roman"/>
          <w:highlight w:val="none"/>
          <w:lang w:val="en-US" w:eastAsia="zh-CN"/>
        </w:rPr>
        <w:t>64</w:t>
      </w:r>
      <w:r>
        <w:rPr>
          <w:rFonts w:hint="default" w:ascii="仿宋_GB2312" w:hAnsi="Times New Roman" w:cs="Times New Roman"/>
          <w:highlight w:val="none"/>
          <w:lang w:val="en-US" w:eastAsia="zh-CN"/>
        </w:rPr>
        <w:t>学时，4学分)</w:t>
      </w:r>
    </w:p>
    <w:p w14:paraId="21709D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textAlignment w:val="auto"/>
        <w:rPr>
          <w:rFonts w:hint="default" w:ascii="仿宋_GB2312" w:hAnsi="Times New Roman" w:cs="Times New Roman"/>
          <w:highlight w:val="none"/>
          <w:lang w:val="en-US" w:eastAsia="zh-CN"/>
        </w:rPr>
      </w:pPr>
      <w:r>
        <w:rPr>
          <w:rFonts w:hint="default" w:ascii="仿宋_GB2312" w:hAnsi="Times New Roman" w:cs="Times New Roman"/>
          <w:highlight w:val="none"/>
          <w:lang w:val="en-US" w:eastAsia="zh-CN"/>
        </w:rPr>
        <w:t>本课程主要学习Android框架、Android组件、用户界面开发、游戏开发、数据存储、多媒体开发和网络开发等Android平台下开发手机应用软件所必需的技术。学生能够完成基本的安卓手机APP开发。</w:t>
      </w:r>
    </w:p>
    <w:p w14:paraId="6C64C611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default" w:ascii="仿宋_GB2312" w:hAnsi="Times New Roman" w:cs="Times New Roman"/>
          <w:highlight w:val="none"/>
          <w:lang w:val="en-US" w:eastAsia="zh-CN"/>
        </w:rPr>
      </w:pPr>
      <w:r>
        <w:rPr>
          <w:rFonts w:hint="default" w:ascii="仿宋_GB2312" w:hAnsi="Times New Roman" w:cs="Times New Roman"/>
          <w:highlight w:val="none"/>
          <w:lang w:val="en-US" w:eastAsia="zh-CN"/>
        </w:rPr>
        <w:t>软件项目管理(64学时，4学分)</w:t>
      </w:r>
    </w:p>
    <w:p w14:paraId="2CFDA8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highlight w:val="none"/>
          <w:lang w:val="en-US" w:eastAsia="zh-CN"/>
        </w:rPr>
      </w:pPr>
      <w:r>
        <w:rPr>
          <w:rFonts w:hint="default" w:ascii="仿宋_GB2312" w:hAnsi="Times New Roman" w:cs="Times New Roman"/>
          <w:highlight w:val="none"/>
          <w:lang w:val="en-US" w:eastAsia="zh-CN"/>
        </w:rPr>
        <w:t>本课程讲述项目管理基本概念、软件过程概念、软件项目管理经典理论、技术等基础内容以及软件项目工具，逐步向学生讲述案例的实施过程。本课程涵盖了项目管理的基本概念、软件项目管理理论、软件项目管理方法、软件项目管理工具等多方面的内容。</w:t>
      </w:r>
    </w:p>
    <w:p w14:paraId="6C087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jc w:val="left"/>
        <w:textAlignment w:val="auto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default" w:ascii="仿宋_GB2312" w:hAnsi="Times New Roman" w:cs="Times New Roman"/>
          <w:highlight w:val="none"/>
          <w:lang w:val="en-US" w:eastAsia="zh-CN"/>
        </w:rPr>
        <w:t>（</w:t>
      </w:r>
      <w:r>
        <w:rPr>
          <w:rFonts w:hint="eastAsia" w:ascii="仿宋_GB2312" w:cs="Times New Roman"/>
          <w:highlight w:val="none"/>
          <w:lang w:val="en-US" w:eastAsia="zh-CN"/>
        </w:rPr>
        <w:t>5</w:t>
      </w:r>
      <w:r>
        <w:rPr>
          <w:rFonts w:hint="default" w:ascii="仿宋_GB2312" w:hAnsi="Times New Roman" w:cs="Times New Roman"/>
          <w:highlight w:val="none"/>
          <w:lang w:val="en-US" w:eastAsia="zh-CN"/>
        </w:rPr>
        <w:t>）大数据分析技术(64学时，4学分)</w:t>
      </w:r>
    </w:p>
    <w:p w14:paraId="7D985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cs="Times New Roman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cs="Times New Roman"/>
          <w:highlight w:val="none"/>
          <w:lang w:val="en-US" w:eastAsia="zh-CN"/>
        </w:rPr>
        <w:t>课程是计算机科学、数据科学、信息技术、商业分析、统计学等相关专业的核心专业课。站在现代数据驱动决策的前沿，关注如何处理、分析和从海量、高速、多样化的数据（即“大数据”）中提取价值。指导学生掌握大数据的概念、特征、技术挑战以及主流的处理框架和生态系统。掌握核心技术栈,学习并实践大数据存储、分布式计算、数据处理与清洗的关键技术。精通数据分析方法,应用统计方法、机器学习算法（特别是适用于大规模数据的算法）和深度学习技术进行数据探索、建模、预测和模式发现。掌握数据可视化,学习使用工具将复杂的大数据分析结果以直观、易懂的方式呈现出来。培养工程化思维,了解大数据项目的生命周期、架构设计、性能调优、容错处理以及在生产环境中的部署与管理。解决实际问题,通过案例研究和项目实践，培养学生运用大数据技术解决商业、科研或社会领域实际问题的能力。了解前沿趋势,接触当前大数据领域的热点和发展方向（如流处理、图计算、AI与大数据的融合等）。</w:t>
      </w:r>
    </w:p>
    <w:p w14:paraId="354F62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  <w:rPr>
          <w:rFonts w:hint="default" w:ascii="楷体_GB2312" w:hAnsi="楷体_GB2312" w:eastAsia="楷体_GB2312" w:cs="楷体_GB2312"/>
          <w:b/>
          <w:bCs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lang w:val="en-US" w:eastAsia="zh-CN"/>
        </w:rPr>
        <w:t>七、教学进程总体安排表</w:t>
      </w:r>
    </w:p>
    <w:p w14:paraId="5E96FF5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表</w:t>
      </w:r>
      <w:r>
        <w:rPr>
          <w:rFonts w:hint="eastAsia" w:ascii="仿宋_GB2312" w:hAnsi="仿宋_GB2312" w:cs="仿宋_GB2312"/>
          <w:b/>
          <w:bCs/>
          <w:sz w:val="28"/>
          <w:szCs w:val="28"/>
          <w:lang w:val="en-US" w:eastAsia="zh-CN"/>
        </w:rPr>
        <w:t>3软件技术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专业教学进程安排表</w:t>
      </w:r>
    </w:p>
    <w:tbl>
      <w:tblPr>
        <w:tblStyle w:val="14"/>
        <w:tblW w:w="1136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"/>
        <w:gridCol w:w="528"/>
        <w:gridCol w:w="397"/>
        <w:gridCol w:w="856"/>
        <w:gridCol w:w="3416"/>
        <w:gridCol w:w="536"/>
        <w:gridCol w:w="377"/>
        <w:gridCol w:w="458"/>
        <w:gridCol w:w="539"/>
        <w:gridCol w:w="539"/>
        <w:gridCol w:w="539"/>
        <w:gridCol w:w="496"/>
        <w:gridCol w:w="377"/>
        <w:gridCol w:w="377"/>
        <w:gridCol w:w="377"/>
        <w:gridCol w:w="576"/>
        <w:gridCol w:w="576"/>
      </w:tblGrid>
      <w:tr w14:paraId="4EA47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A0B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15" w:name="OLE_LINK4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性质</w:t>
            </w:r>
          </w:p>
        </w:tc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CF2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类别</w:t>
            </w:r>
          </w:p>
        </w:tc>
        <w:tc>
          <w:tcPr>
            <w:tcW w:w="3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936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04D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34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92D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12C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考试/考查</w:t>
            </w:r>
          </w:p>
        </w:tc>
        <w:tc>
          <w:tcPr>
            <w:tcW w:w="3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437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课程类型</w:t>
            </w:r>
          </w:p>
        </w:tc>
        <w:tc>
          <w:tcPr>
            <w:tcW w:w="2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C74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学时和学分</w:t>
            </w:r>
          </w:p>
        </w:tc>
        <w:tc>
          <w:tcPr>
            <w:tcW w:w="277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906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周学时</w:t>
            </w:r>
          </w:p>
        </w:tc>
      </w:tr>
      <w:tr w14:paraId="33307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DCD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6FF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6D1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1CD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FD5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697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822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376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学分</w:t>
            </w:r>
          </w:p>
        </w:tc>
        <w:tc>
          <w:tcPr>
            <w:tcW w:w="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813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总学时</w:t>
            </w:r>
          </w:p>
        </w:tc>
        <w:tc>
          <w:tcPr>
            <w:tcW w:w="10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BB5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</w:t>
            </w:r>
          </w:p>
        </w:tc>
        <w:tc>
          <w:tcPr>
            <w:tcW w:w="8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031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第一学年</w:t>
            </w:r>
          </w:p>
        </w:tc>
        <w:tc>
          <w:tcPr>
            <w:tcW w:w="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83E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第二学年</w:t>
            </w:r>
          </w:p>
        </w:tc>
        <w:tc>
          <w:tcPr>
            <w:tcW w:w="1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FD1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第三学年</w:t>
            </w:r>
          </w:p>
        </w:tc>
      </w:tr>
      <w:tr w14:paraId="7907A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61F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3B2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603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15F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2FF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CAD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5B8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127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1BE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237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理论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9BA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实践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DB6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318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5AF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三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CD3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四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8C7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390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六</w:t>
            </w:r>
          </w:p>
        </w:tc>
      </w:tr>
      <w:tr w14:paraId="4E4AD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39D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公共基础课</w:t>
            </w:r>
          </w:p>
        </w:tc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80B44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公共必修课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D0E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DB8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MY000101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20C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4ED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757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48C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BD5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A04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070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4EE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C84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FC7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238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CEC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49B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501D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535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0ADE0C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F65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179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MY000102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6CE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毛泽东思想和中国特色社会主义理论体系概论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EFB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534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118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D57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B96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239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EB9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4E4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1A9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24D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CA3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5D5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C8A8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9E7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D8C64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C92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30A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MY000103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1B6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形势与政策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485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F35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952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057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900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1F6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B62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F77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65F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5D2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CA9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002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498F4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E92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C576D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1A6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0D3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MY000104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5BF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劳动教育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A7D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17E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DCE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700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928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E20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93F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AD6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1B7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A49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B9C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6B7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3B94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584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36D54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B0F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EDE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MY220105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316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习近平新时代中国特色社会主义思想概论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888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26D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6AC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7A3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77D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F79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A64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706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A03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4DD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236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2D1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8B30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C88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82B9C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4BF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3D9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MY000106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E02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国家安全教育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9C2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06D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8ED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B39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59E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C28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110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4E7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B6B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C5C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4CA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39D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D32C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43D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C4855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EEF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E76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AF2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高职英语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551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EB9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3AC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E8E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E21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AE7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F7E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D25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6A3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06A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30A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590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AEA5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751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B4A95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C3A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A28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38C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信息技术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D66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73F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94B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899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5B4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3D6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EFD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3D3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2A2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94B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A37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2DF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4FDF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42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D2F0C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5E3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946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5FA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应用写作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240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9A3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CE1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75E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0BE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71D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D11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EA4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F54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0F0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60C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5D1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66F5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859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33242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9A3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126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549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288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AA2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036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59D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C3A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A51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829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D21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C2E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DB1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887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93A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0594A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27F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607A2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C41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0D2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748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军事技能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E6E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A81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2F4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A1C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990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283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6C3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545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866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FCE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13A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E83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AE4B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EDA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F82C8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2DD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C4F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7B5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职业规划与就业指导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806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EE4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79C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EE5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30C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893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08E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E9E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87F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92D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979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77B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0F9BD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BDC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5F2CC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0BB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764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162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创业基础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B8B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F5F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383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76C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A2A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CD0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598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228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2A8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4F5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F99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12A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5692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9F6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BA546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E45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720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F30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2BF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F2C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869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C89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33E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335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7CE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68C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5A9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D1D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44D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1CD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4BEFF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71B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D8AAA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158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C67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F33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心理健康教育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366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019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786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E06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C7C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3C4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D7A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450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8A9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42A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936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4C3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C729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B7A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C196A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F19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3CB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B18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大学生安全教育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727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C6E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9F6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80E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D95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FC9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B3C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F57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FA8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CD8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C8C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997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CF25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93F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B7C22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D76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F99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943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高等数学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347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806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D62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C1F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D60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2A3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0C4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6F9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57B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0A1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3BC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BDA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4F65B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AFD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18600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6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0E8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1F9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98F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56E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B08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AA3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0A1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44C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ED1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21A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CA3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BB9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52E0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8C1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CA2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0C454C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公共选修课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2A7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840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GJ220208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897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人工智能基础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06F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584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F62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73D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529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052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D7B6C5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16"/>
                <w:szCs w:val="24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C82B3D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0FFB4E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083577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246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A4EA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1F7FB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535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B2B39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D61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D1B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GJ220204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AFF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时间管理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B2E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58A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1AF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8AC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208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7D9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35857E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right"/>
              <w:rPr>
                <w:rFonts w:hint="eastAsia" w:ascii="宋体" w:hAnsi="宋体" w:eastAsia="仿宋_GB2312" w:cs="Times New Roman"/>
                <w:color w:val="auto"/>
                <w:kern w:val="2"/>
                <w:sz w:val="22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CDABDB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078FDB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16"/>
                <w:szCs w:val="24"/>
                <w:lang w:val="en-US" w:eastAsia="zh-CN"/>
              </w:rPr>
              <w:t>2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3BB8AB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AA3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A13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 w14:paraId="7A420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671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030EED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834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808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GJ220209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1EF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沟通的艺术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B3E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396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54A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B92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8BF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929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E5929B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leftChars="0" w:right="0" w:rightChars="0"/>
              <w:jc w:val="right"/>
              <w:rPr>
                <w:rFonts w:hint="eastAsia" w:ascii="宋体" w:hAnsi="宋体" w:eastAsia="仿宋_GB2312" w:cs="Times New Roman"/>
                <w:color w:val="auto"/>
                <w:kern w:val="2"/>
                <w:sz w:val="22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1AD92A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leftChars="0" w:right="0" w:rightChars="0"/>
              <w:jc w:val="center"/>
              <w:rPr>
                <w:rFonts w:hint="default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A6C174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leftChars="0" w:right="0" w:rightChars="0"/>
              <w:jc w:val="center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75D2DF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066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60A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 w14:paraId="0FD51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87A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9DBC8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F51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20C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GJ220210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8AD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情绪管理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263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A19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BB8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14F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567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729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723F09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leftChars="0" w:right="0" w:rightChars="0"/>
              <w:jc w:val="right"/>
              <w:rPr>
                <w:rFonts w:hint="eastAsia" w:ascii="宋体" w:hAnsi="宋体" w:eastAsia="仿宋_GB2312" w:cs="Times New Roman"/>
                <w:color w:val="auto"/>
                <w:kern w:val="2"/>
                <w:sz w:val="22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3D4762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leftChars="0" w:right="0" w:rightChars="0"/>
              <w:jc w:val="center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050E8B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leftChars="0" w:right="0" w:rightChars="0"/>
              <w:jc w:val="center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16"/>
                <w:szCs w:val="24"/>
                <w:lang w:val="en-US" w:eastAsia="zh-CN"/>
              </w:rPr>
              <w:t>2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2D3C06C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right"/>
              <w:rPr>
                <w:rFonts w:hint="eastAsia" w:ascii="宋体" w:hAnsi="宋体" w:eastAsia="仿宋_GB2312" w:cs="Times New Roman"/>
                <w:color w:val="auto"/>
                <w:kern w:val="2"/>
                <w:sz w:val="22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411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B82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 w14:paraId="33358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C2E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AA3E6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B69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67B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GJ220212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EB5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公共关系礼仪实务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E55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6B2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911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  <w:t>1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EEA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79B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7EE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623F43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leftChars="0" w:right="0" w:rightChars="0"/>
              <w:jc w:val="right"/>
              <w:rPr>
                <w:rFonts w:hint="eastAsia" w:ascii="宋体" w:hAnsi="宋体" w:eastAsia="仿宋_GB2312" w:cs="Times New Roman"/>
                <w:color w:val="auto"/>
                <w:kern w:val="2"/>
                <w:sz w:val="22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43D38A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leftChars="0" w:right="0" w:rightChars="0"/>
              <w:jc w:val="center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34F52D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leftChars="0" w:right="0" w:rightChars="0"/>
              <w:jc w:val="center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1187BC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default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  <w:t>2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4F5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3FB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 w14:paraId="502E8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DE8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360A3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6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265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A01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DA8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8E6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386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231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43E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9F9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B62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0102B1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D5172E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4AD046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67C862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</w:tr>
      <w:tr w14:paraId="6D3E6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A5A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专业课</w:t>
            </w:r>
          </w:p>
        </w:tc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A51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专业基础课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FF05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B6D6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XC040301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8AF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C语言程序设计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FBE8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7211F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0274E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F8765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BAFF9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96DB9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FC79C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F1F05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381DA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10D21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B81EF1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79D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8506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D88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31C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3677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6B7D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XC040302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12B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计算机网络基础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C0E0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C0380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6ECCD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0CC68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70CB7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BD452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8DDA9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0D2D1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FC59C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C2307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92D94A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865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090DB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7DC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9E8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CC5C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F97B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XC040303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9F9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数据结构与算法分析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8716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2897B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DD687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74CA9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CE8BA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98722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9BA87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2E354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3879E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8BA4E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5A2CB3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4C4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0EAFC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FC3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4F4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B732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7965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XC040304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EC3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Python程序设计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6A2C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DD488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DE808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590F2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2EA1B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ECB26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F6D66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CB516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仿宋_GB2312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294E6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7B65B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70A783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C61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DD03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12C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E10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9467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3501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XC040305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649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Linux操作系统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C230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A3201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F4BC6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3DEB4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6D70E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BD4B4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05AE3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DCDDE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仿宋_GB2312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30DC6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DCC02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9C9323C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E1B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514D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C91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17F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7417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55D1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XC040306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2B8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数据库基础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63DB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/>
                <w:color w:val="000000"/>
                <w:sz w:val="16"/>
                <w:szCs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B1D0A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/>
                <w:color w:val="000000"/>
                <w:sz w:val="16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259EC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/>
                <w:color w:val="000000"/>
                <w:sz w:val="16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BB67F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/>
                <w:color w:val="000000"/>
                <w:sz w:val="16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6EA58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/>
                <w:color w:val="000000"/>
                <w:sz w:val="16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45F92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/>
                <w:color w:val="000000"/>
                <w:sz w:val="16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B2E72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ADD9C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4F531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F420B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CAE714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7A0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15063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835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C03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6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08E2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066F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B4C9D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D72D5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仿宋_GB2312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ABE15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DD19F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3513B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C3C5F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E2097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0C75A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1EAC2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9FA0D7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B10BF8C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</w:tr>
      <w:tr w14:paraId="4CD51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75C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1C2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专业核心课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881E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6536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XC040401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D1B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网页设计与制作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1BF2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3FFA2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85E61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79416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A3E6A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F0667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D4B57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45A74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19632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7AC0C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5AF50A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42144B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17604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054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3B7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C0F0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791C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XC040402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E54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JavaScript程序设计基础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0098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790B0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2595E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97D10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149BD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00B33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3FEB5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2510F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F556B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5E130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A21792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63A1CA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16FB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089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D55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159E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E05E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XC040403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EC6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JAVA程序设计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3356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5DC78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D368D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0D4DE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2AD95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AD968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CCA15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19A17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E00FB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仿宋_GB2312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C2B35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D121C3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E6A616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12DCE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8DB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FCA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D73E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623B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XC040404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901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HTML5前端开发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1D2B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9E42F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5C336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7AF2C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0C5C6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71B04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579EB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7D0BA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1ED07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2F290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仿宋_GB2312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A5BD42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87C2B2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CC6A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2FC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19F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8DD5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A171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XC040405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ECD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PHP程序设计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3677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E33BC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D7046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47833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80F79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31F19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96498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1B310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0CB5D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E2FAC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F12386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3DEB61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1BFCF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B61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127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4FAB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7BFE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XC040406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10E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web前端ajax开发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94E2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D9151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A321B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15095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4BC89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41131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0AF02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87FD9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B9A81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7784D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08046F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66EDB6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001D2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B87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2E4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8184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6385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XC040407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31B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E35A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DBCF2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6292C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70095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FA26D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897AE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00A91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D2150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9FD30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83157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1275E7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D6BE4B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449A0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894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948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6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860C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B3AF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40FEF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E94DF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仿宋_GB2312" w:cs="Times New Roman"/>
                <w:b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E6736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仿宋_GB2312" w:cs="Times New Roman"/>
                <w:b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448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FBC4B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仿宋_GB2312" w:cs="Times New Roman"/>
                <w:b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EFFB0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仿宋_GB2312" w:cs="Times New Roman"/>
                <w:b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224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E8A72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2DE22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CCCA7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32873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FBBB84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0F4E78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</w:p>
        </w:tc>
      </w:tr>
      <w:tr w14:paraId="7A5A6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C12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E75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专</w:t>
            </w:r>
          </w:p>
          <w:p w14:paraId="7F3B6B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业</w:t>
            </w:r>
          </w:p>
          <w:p w14:paraId="373D6E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拓</w:t>
            </w:r>
          </w:p>
          <w:p w14:paraId="123964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展</w:t>
            </w:r>
          </w:p>
          <w:p w14:paraId="01CD69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课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E3ED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9F59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XC040501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D34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图形图像处理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0064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047C3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02C6C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7D806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EEDE9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3D4F3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AE017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E45AB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仿宋_GB2312" w:cs="Times New Roman"/>
                <w:color w:val="auto"/>
                <w:kern w:val="2"/>
                <w:sz w:val="22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5FADE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278C1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BC4452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FF8213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2C992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E87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25B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1BD6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4A75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XC040502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F05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软件测试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2272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0881A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6425E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AF726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39CE7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0E398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2F1F2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FFD5A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F4C05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仿宋_GB2312" w:cs="Times New Roman"/>
                <w:color w:val="auto"/>
                <w:kern w:val="2"/>
                <w:sz w:val="22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D21E8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A9B7F7C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AE473C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C7BB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975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50C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774B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4B8A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XC040503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C9C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移动互联应用开发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219F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20F93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B77A5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163AC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C44AA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6EE18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BD97F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F4B79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13F2A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8EE24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D06659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EB1DB3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26F51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74F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D20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A330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7D08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XC040504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38B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软件项目管理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1618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841B0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5BB0D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8A0CA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FEAAF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D98B0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277AE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1CC17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37FCB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17236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95404D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931379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72F0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08E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3EE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CEC1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2233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XC040505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F0D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大数据分析技术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6AF7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509D9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575E8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2C056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1873E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AE3C8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2FFA4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1C52C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right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5DD91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D9B7F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仿宋_GB2312" w:cs="Times New Roman"/>
                <w:color w:val="auto"/>
                <w:kern w:val="2"/>
                <w:sz w:val="16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9229D2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3F2B69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9086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22B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9C2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6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863E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85CE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ACF8A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F2F08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仿宋_GB2312" w:cs="Times New Roman"/>
                <w:b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  <w:bookmarkStart w:id="27" w:name="_GoBack"/>
            <w:bookmarkEnd w:id="27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CC2BC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仿宋_GB2312" w:cs="Times New Roman"/>
                <w:b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256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91E2B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仿宋_GB2312" w:cs="Times New Roman"/>
                <w:b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128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56C5E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仿宋_GB2312" w:cs="Times New Roman"/>
                <w:b/>
                <w:color w:val="000000"/>
                <w:kern w:val="2"/>
                <w:sz w:val="16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128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E56CB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B7916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1611E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4D89F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EF688E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67B31AC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A05D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A69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21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综合实践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51A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E36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GJ220601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C2E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入学教育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4D4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A9D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C4B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435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056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94E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291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FC4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196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719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043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568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5249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465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2AC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4C2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18A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GJ220602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228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毕业教育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D7F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579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57D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9C0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67B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E8E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CF0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C47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A9E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980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C06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8EB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1周</w:t>
            </w:r>
          </w:p>
        </w:tc>
      </w:tr>
      <w:tr w14:paraId="1F2E2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6DD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D30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846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523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GJ220603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00C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岗位实习（1）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DAC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FBA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509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8AF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CF5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26C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A5E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38D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692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F54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D1D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7F8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4A69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9C5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E27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6B9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698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GJ220604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E73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岗位实习（2）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EEE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F05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F2F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8EA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280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ACD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1C7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D77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293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799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2AF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132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1EA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14周</w:t>
            </w:r>
          </w:p>
        </w:tc>
      </w:tr>
      <w:tr w14:paraId="0A47D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BAB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EB2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B13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008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GJ220605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764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毕业设计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3F3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B58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36E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5AE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FE3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989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83C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B22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8DE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531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020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7AA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4周</w:t>
            </w:r>
          </w:p>
        </w:tc>
      </w:tr>
      <w:tr w14:paraId="3FDEB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61CC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4ED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6B8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C4D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C2F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E81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02D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D05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DE1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1F4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520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3A2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29E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141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8DC5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55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0F2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合计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912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4EF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074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142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1D4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2528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5C7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1050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AE5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1478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438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09F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71E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AF3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56E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CCF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bookmarkEnd w:id="15"/>
    </w:tbl>
    <w:p w14:paraId="4718D8A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jc w:val="center"/>
        <w:textAlignment w:val="auto"/>
        <w:outlineLvl w:val="9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</w:p>
    <w:p w14:paraId="63FCF1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16" w:name="_Toc12011"/>
    </w:p>
    <w:p w14:paraId="58E33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</w:rPr>
      </w:pPr>
      <w:r>
        <w:rPr>
          <w:rFonts w:hint="eastAsia" w:ascii="楷体_GB2312" w:hAnsi="楷体_GB2312" w:eastAsia="楷体_GB2312" w:cs="楷体_GB2312"/>
          <w:b/>
          <w:bCs/>
          <w:lang w:eastAsia="zh-CN"/>
        </w:rPr>
        <w:t>（二）各类课程学时分配</w:t>
      </w:r>
      <w:bookmarkEnd w:id="16"/>
    </w:p>
    <w:p w14:paraId="598C9F6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jc w:val="center"/>
        <w:textAlignment w:val="auto"/>
        <w:outlineLvl w:val="9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表</w:t>
      </w:r>
      <w:r>
        <w:rPr>
          <w:rFonts w:hint="eastAsia" w:ascii="仿宋_GB2312" w:hAnsi="仿宋_GB2312" w:cs="仿宋_GB2312"/>
          <w:b/>
          <w:bCs/>
          <w:sz w:val="28"/>
          <w:szCs w:val="28"/>
          <w:lang w:val="en-US" w:eastAsia="zh-CN"/>
        </w:rPr>
        <w:t>4软件技术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专业</w:t>
      </w:r>
      <w:r>
        <w:rPr>
          <w:rFonts w:hint="eastAsia" w:ascii="仿宋_GB2312" w:hAnsi="仿宋_GB2312" w:cs="仿宋_GB2312"/>
          <w:b/>
          <w:bCs/>
          <w:sz w:val="28"/>
          <w:szCs w:val="28"/>
          <w:lang w:val="en-US" w:eastAsia="zh-CN"/>
        </w:rPr>
        <w:t>理论教学与实践教学学时比例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表</w:t>
      </w:r>
    </w:p>
    <w:tbl>
      <w:tblPr>
        <w:tblStyle w:val="14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4"/>
        <w:gridCol w:w="1894"/>
        <w:gridCol w:w="1395"/>
        <w:gridCol w:w="2591"/>
        <w:gridCol w:w="1580"/>
      </w:tblGrid>
      <w:tr w14:paraId="122C2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88" w:type="dxa"/>
            <w:gridSpan w:val="2"/>
            <w:vAlign w:val="center"/>
          </w:tcPr>
          <w:p w14:paraId="38F35B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1395" w:type="dxa"/>
            <w:vAlign w:val="center"/>
          </w:tcPr>
          <w:p w14:paraId="0E5462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学时数</w:t>
            </w:r>
          </w:p>
        </w:tc>
        <w:tc>
          <w:tcPr>
            <w:tcW w:w="2591" w:type="dxa"/>
            <w:vAlign w:val="center"/>
          </w:tcPr>
          <w:p w14:paraId="4E3DDE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占总学时的比例</w:t>
            </w:r>
          </w:p>
        </w:tc>
        <w:tc>
          <w:tcPr>
            <w:tcW w:w="1580" w:type="dxa"/>
            <w:vAlign w:val="center"/>
          </w:tcPr>
          <w:p w14:paraId="71CC5E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221EF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88" w:type="dxa"/>
            <w:gridSpan w:val="2"/>
            <w:vAlign w:val="center"/>
          </w:tcPr>
          <w:p w14:paraId="1F328B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理论教学时数</w:t>
            </w:r>
          </w:p>
        </w:tc>
        <w:tc>
          <w:tcPr>
            <w:tcW w:w="1395" w:type="dxa"/>
            <w:vAlign w:val="center"/>
          </w:tcPr>
          <w:p w14:paraId="6C2AB1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591" w:type="dxa"/>
            <w:vAlign w:val="center"/>
          </w:tcPr>
          <w:p w14:paraId="02856C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b w:val="0"/>
                <w:bCs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</w:p>
        </w:tc>
        <w:tc>
          <w:tcPr>
            <w:tcW w:w="1580" w:type="dxa"/>
            <w:vAlign w:val="center"/>
          </w:tcPr>
          <w:p w14:paraId="16129E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2234F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4" w:type="dxa"/>
            <w:vMerge w:val="restart"/>
            <w:vAlign w:val="center"/>
          </w:tcPr>
          <w:p w14:paraId="72171D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实践教学时数</w:t>
            </w:r>
          </w:p>
        </w:tc>
        <w:tc>
          <w:tcPr>
            <w:tcW w:w="1894" w:type="dxa"/>
            <w:vAlign w:val="center"/>
          </w:tcPr>
          <w:p w14:paraId="19D019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校内实践教学时数</w:t>
            </w:r>
          </w:p>
        </w:tc>
        <w:tc>
          <w:tcPr>
            <w:tcW w:w="1395" w:type="dxa"/>
            <w:vAlign w:val="center"/>
          </w:tcPr>
          <w:p w14:paraId="32B224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886</w:t>
            </w:r>
          </w:p>
        </w:tc>
        <w:tc>
          <w:tcPr>
            <w:tcW w:w="2591" w:type="dxa"/>
            <w:vMerge w:val="restart"/>
            <w:vAlign w:val="center"/>
          </w:tcPr>
          <w:p w14:paraId="6D510F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b w:val="0"/>
                <w:bCs w:val="0"/>
                <w:sz w:val="24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58.47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</w:p>
        </w:tc>
        <w:tc>
          <w:tcPr>
            <w:tcW w:w="1580" w:type="dxa"/>
            <w:vMerge w:val="restart"/>
            <w:vAlign w:val="center"/>
          </w:tcPr>
          <w:p w14:paraId="0FE77A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6A68C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4" w:type="dxa"/>
            <w:vMerge w:val="continue"/>
            <w:vAlign w:val="center"/>
          </w:tcPr>
          <w:p w14:paraId="7CEC84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/>
                <w:b/>
                <w:bCs/>
                <w:sz w:val="24"/>
              </w:rPr>
            </w:pPr>
          </w:p>
        </w:tc>
        <w:tc>
          <w:tcPr>
            <w:tcW w:w="1894" w:type="dxa"/>
            <w:vAlign w:val="center"/>
          </w:tcPr>
          <w:p w14:paraId="4573B6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入学教育</w:t>
            </w:r>
          </w:p>
        </w:tc>
        <w:tc>
          <w:tcPr>
            <w:tcW w:w="1395" w:type="dxa"/>
            <w:vAlign w:val="center"/>
          </w:tcPr>
          <w:p w14:paraId="4CCFE0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591" w:type="dxa"/>
            <w:vMerge w:val="continue"/>
            <w:vAlign w:val="center"/>
          </w:tcPr>
          <w:p w14:paraId="1F2933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 w:val="0"/>
                <w:sz w:val="24"/>
              </w:rPr>
            </w:pPr>
          </w:p>
        </w:tc>
        <w:tc>
          <w:tcPr>
            <w:tcW w:w="1580" w:type="dxa"/>
            <w:vMerge w:val="continue"/>
            <w:vAlign w:val="center"/>
          </w:tcPr>
          <w:p w14:paraId="7C9023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015D0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4" w:type="dxa"/>
            <w:vMerge w:val="continue"/>
            <w:vAlign w:val="center"/>
          </w:tcPr>
          <w:p w14:paraId="293DAD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/>
                <w:b/>
                <w:bCs/>
                <w:sz w:val="24"/>
              </w:rPr>
            </w:pPr>
          </w:p>
        </w:tc>
        <w:tc>
          <w:tcPr>
            <w:tcW w:w="1894" w:type="dxa"/>
            <w:vAlign w:val="center"/>
          </w:tcPr>
          <w:p w14:paraId="3E799A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毕业教育</w:t>
            </w:r>
          </w:p>
        </w:tc>
        <w:tc>
          <w:tcPr>
            <w:tcW w:w="1395" w:type="dxa"/>
            <w:vAlign w:val="center"/>
          </w:tcPr>
          <w:p w14:paraId="363FB7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591" w:type="dxa"/>
            <w:vMerge w:val="continue"/>
            <w:vAlign w:val="center"/>
          </w:tcPr>
          <w:p w14:paraId="1B52F5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 w:val="0"/>
                <w:sz w:val="24"/>
              </w:rPr>
            </w:pPr>
          </w:p>
        </w:tc>
        <w:tc>
          <w:tcPr>
            <w:tcW w:w="1580" w:type="dxa"/>
            <w:vMerge w:val="continue"/>
            <w:vAlign w:val="center"/>
          </w:tcPr>
          <w:p w14:paraId="1403CC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52470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4" w:type="dxa"/>
            <w:vMerge w:val="continue"/>
            <w:vAlign w:val="center"/>
          </w:tcPr>
          <w:p w14:paraId="2BA0BE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/>
                <w:b/>
                <w:bCs/>
                <w:sz w:val="24"/>
              </w:rPr>
            </w:pPr>
          </w:p>
        </w:tc>
        <w:tc>
          <w:tcPr>
            <w:tcW w:w="1894" w:type="dxa"/>
            <w:vAlign w:val="center"/>
          </w:tcPr>
          <w:p w14:paraId="1B979F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岗位实习</w:t>
            </w:r>
            <w:r>
              <w:rPr>
                <w:rStyle w:val="24"/>
                <w:rFonts w:eastAsia="仿宋_GB2312"/>
                <w:lang w:val="en-US" w:eastAsia="zh-CN" w:bidi="ar"/>
              </w:rPr>
              <w:t>1</w:t>
            </w:r>
          </w:p>
        </w:tc>
        <w:tc>
          <w:tcPr>
            <w:tcW w:w="1395" w:type="dxa"/>
            <w:vAlign w:val="center"/>
          </w:tcPr>
          <w:p w14:paraId="4854A9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591" w:type="dxa"/>
            <w:vMerge w:val="continue"/>
            <w:vAlign w:val="center"/>
          </w:tcPr>
          <w:p w14:paraId="082D0B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 w:val="0"/>
                <w:sz w:val="24"/>
              </w:rPr>
            </w:pPr>
          </w:p>
        </w:tc>
        <w:tc>
          <w:tcPr>
            <w:tcW w:w="1580" w:type="dxa"/>
            <w:vMerge w:val="continue"/>
            <w:vAlign w:val="center"/>
          </w:tcPr>
          <w:p w14:paraId="43614E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064AF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4" w:type="dxa"/>
            <w:vMerge w:val="continue"/>
            <w:vAlign w:val="center"/>
          </w:tcPr>
          <w:p w14:paraId="03D99C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/>
                <w:b/>
                <w:bCs/>
                <w:sz w:val="24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14:paraId="2B4E6E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岗位实习</w:t>
            </w:r>
            <w:r>
              <w:rPr>
                <w:rStyle w:val="24"/>
                <w:rFonts w:eastAsia="仿宋_GB2312"/>
                <w:lang w:val="en-US" w:eastAsia="zh-CN" w:bidi="ar"/>
              </w:rPr>
              <w:t>2</w:t>
            </w:r>
          </w:p>
        </w:tc>
        <w:tc>
          <w:tcPr>
            <w:tcW w:w="1395" w:type="dxa"/>
            <w:vAlign w:val="center"/>
          </w:tcPr>
          <w:p w14:paraId="6BB0BC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2591" w:type="dxa"/>
            <w:vMerge w:val="continue"/>
            <w:vAlign w:val="center"/>
          </w:tcPr>
          <w:p w14:paraId="44AFBF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 w:val="0"/>
                <w:sz w:val="24"/>
              </w:rPr>
            </w:pPr>
          </w:p>
        </w:tc>
        <w:tc>
          <w:tcPr>
            <w:tcW w:w="1580" w:type="dxa"/>
            <w:vMerge w:val="continue"/>
            <w:vAlign w:val="center"/>
          </w:tcPr>
          <w:p w14:paraId="3BBA78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22DE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4" w:type="dxa"/>
            <w:vMerge w:val="continue"/>
            <w:vAlign w:val="center"/>
          </w:tcPr>
          <w:p w14:paraId="1AD2D7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/>
                <w:b/>
                <w:bCs/>
                <w:sz w:val="24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14:paraId="040249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毕业设计</w:t>
            </w:r>
          </w:p>
        </w:tc>
        <w:tc>
          <w:tcPr>
            <w:tcW w:w="1395" w:type="dxa"/>
            <w:vAlign w:val="center"/>
          </w:tcPr>
          <w:p w14:paraId="19C3C2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591" w:type="dxa"/>
            <w:vMerge w:val="continue"/>
            <w:vAlign w:val="center"/>
          </w:tcPr>
          <w:p w14:paraId="1988FA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 w:val="0"/>
                <w:sz w:val="24"/>
              </w:rPr>
            </w:pPr>
          </w:p>
        </w:tc>
        <w:tc>
          <w:tcPr>
            <w:tcW w:w="1580" w:type="dxa"/>
            <w:vMerge w:val="continue"/>
            <w:vAlign w:val="center"/>
          </w:tcPr>
          <w:p w14:paraId="73A9EC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0C145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4" w:type="dxa"/>
            <w:vMerge w:val="continue"/>
            <w:vAlign w:val="center"/>
          </w:tcPr>
          <w:p w14:paraId="5CFB22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/>
                <w:b/>
                <w:bCs/>
                <w:sz w:val="24"/>
              </w:rPr>
            </w:pPr>
          </w:p>
        </w:tc>
        <w:tc>
          <w:tcPr>
            <w:tcW w:w="1894" w:type="dxa"/>
            <w:vAlign w:val="center"/>
          </w:tcPr>
          <w:p w14:paraId="74CE76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395" w:type="dxa"/>
            <w:vAlign w:val="center"/>
          </w:tcPr>
          <w:p w14:paraId="3BBDF5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1478</w:t>
            </w:r>
          </w:p>
        </w:tc>
        <w:tc>
          <w:tcPr>
            <w:tcW w:w="2591" w:type="dxa"/>
            <w:vMerge w:val="continue"/>
            <w:vAlign w:val="center"/>
          </w:tcPr>
          <w:p w14:paraId="6E6883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 w:val="0"/>
                <w:sz w:val="24"/>
              </w:rPr>
            </w:pPr>
          </w:p>
        </w:tc>
        <w:tc>
          <w:tcPr>
            <w:tcW w:w="1580" w:type="dxa"/>
            <w:vMerge w:val="continue"/>
            <w:vAlign w:val="center"/>
          </w:tcPr>
          <w:p w14:paraId="537D09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5DDA1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88" w:type="dxa"/>
            <w:gridSpan w:val="2"/>
            <w:vAlign w:val="center"/>
          </w:tcPr>
          <w:p w14:paraId="4E42E3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总学时</w:t>
            </w:r>
          </w:p>
        </w:tc>
        <w:tc>
          <w:tcPr>
            <w:tcW w:w="1395" w:type="dxa"/>
            <w:vAlign w:val="center"/>
          </w:tcPr>
          <w:p w14:paraId="49D0C5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2528</w:t>
            </w:r>
          </w:p>
        </w:tc>
        <w:tc>
          <w:tcPr>
            <w:tcW w:w="2591" w:type="dxa"/>
            <w:vAlign w:val="center"/>
          </w:tcPr>
          <w:p w14:paraId="35965E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b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580" w:type="dxa"/>
            <w:vAlign w:val="center"/>
          </w:tcPr>
          <w:p w14:paraId="377013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 w:val="0"/>
                <w:bCs w:val="0"/>
                <w:sz w:val="24"/>
              </w:rPr>
            </w:pPr>
          </w:p>
        </w:tc>
      </w:tr>
    </w:tbl>
    <w:p w14:paraId="0D9A259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表</w:t>
      </w:r>
      <w:r>
        <w:rPr>
          <w:rFonts w:hint="eastAsia" w:ascii="仿宋_GB2312" w:hAnsi="仿宋_GB2312" w:cs="仿宋_GB2312"/>
          <w:b/>
          <w:bCs/>
          <w:sz w:val="28"/>
          <w:szCs w:val="28"/>
          <w:lang w:val="en-US" w:eastAsia="zh-CN"/>
        </w:rPr>
        <w:t>5软件技术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专业学时表</w:t>
      </w:r>
    </w:p>
    <w:tbl>
      <w:tblPr>
        <w:tblStyle w:val="14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3151"/>
        <w:gridCol w:w="1592"/>
        <w:gridCol w:w="1592"/>
        <w:gridCol w:w="1448"/>
      </w:tblGrid>
      <w:tr w14:paraId="6DC03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3" w:hRule="atLeast"/>
          <w:jc w:val="center"/>
        </w:trPr>
        <w:tc>
          <w:tcPr>
            <w:tcW w:w="1571" w:type="dxa"/>
            <w:vAlign w:val="center"/>
          </w:tcPr>
          <w:p w14:paraId="6C46C5E1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课程</w:t>
            </w:r>
          </w:p>
          <w:p w14:paraId="58C505FB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类别</w:t>
            </w:r>
          </w:p>
        </w:tc>
        <w:tc>
          <w:tcPr>
            <w:tcW w:w="3151" w:type="dxa"/>
            <w:vAlign w:val="center"/>
          </w:tcPr>
          <w:p w14:paraId="39C69DB3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课程模块</w:t>
            </w:r>
          </w:p>
        </w:tc>
        <w:tc>
          <w:tcPr>
            <w:tcW w:w="1592" w:type="dxa"/>
            <w:vAlign w:val="center"/>
          </w:tcPr>
          <w:p w14:paraId="2DC41E4A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课程</w:t>
            </w:r>
          </w:p>
          <w:p w14:paraId="174ABF27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门数</w:t>
            </w:r>
          </w:p>
        </w:tc>
        <w:tc>
          <w:tcPr>
            <w:tcW w:w="1592" w:type="dxa"/>
            <w:vAlign w:val="center"/>
          </w:tcPr>
          <w:p w14:paraId="27195AB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学时数</w:t>
            </w:r>
          </w:p>
        </w:tc>
        <w:tc>
          <w:tcPr>
            <w:tcW w:w="1448" w:type="dxa"/>
            <w:vAlign w:val="center"/>
          </w:tcPr>
          <w:p w14:paraId="7D81C899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所占比例</w:t>
            </w:r>
          </w:p>
        </w:tc>
      </w:tr>
      <w:tr w14:paraId="34A34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restart"/>
            <w:vAlign w:val="center"/>
          </w:tcPr>
          <w:p w14:paraId="0D5CA7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必修</w:t>
            </w:r>
          </w:p>
        </w:tc>
        <w:tc>
          <w:tcPr>
            <w:tcW w:w="3151" w:type="dxa"/>
            <w:vAlign w:val="center"/>
          </w:tcPr>
          <w:p w14:paraId="1860C8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公共基础必修课</w:t>
            </w:r>
          </w:p>
        </w:tc>
        <w:tc>
          <w:tcPr>
            <w:tcW w:w="1592" w:type="dxa"/>
            <w:vAlign w:val="center"/>
          </w:tcPr>
          <w:p w14:paraId="27F631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592" w:type="dxa"/>
            <w:vAlign w:val="center"/>
          </w:tcPr>
          <w:p w14:paraId="4B7953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784</w:t>
            </w:r>
          </w:p>
        </w:tc>
        <w:tc>
          <w:tcPr>
            <w:tcW w:w="1448" w:type="dxa"/>
            <w:vAlign w:val="center"/>
          </w:tcPr>
          <w:p w14:paraId="39E6D5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宋体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31.01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</w:p>
        </w:tc>
      </w:tr>
      <w:tr w14:paraId="1DA13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continue"/>
            <w:vAlign w:val="center"/>
          </w:tcPr>
          <w:p w14:paraId="2E87C8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/>
                <w:b/>
                <w:bCs w:val="0"/>
                <w:sz w:val="24"/>
              </w:rPr>
            </w:pPr>
          </w:p>
        </w:tc>
        <w:tc>
          <w:tcPr>
            <w:tcW w:w="3151" w:type="dxa"/>
            <w:vAlign w:val="center"/>
          </w:tcPr>
          <w:p w14:paraId="79AF93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专业基础课</w:t>
            </w:r>
          </w:p>
        </w:tc>
        <w:tc>
          <w:tcPr>
            <w:tcW w:w="1592" w:type="dxa"/>
            <w:vAlign w:val="center"/>
          </w:tcPr>
          <w:p w14:paraId="62B5A3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92" w:type="dxa"/>
            <w:vAlign w:val="center"/>
          </w:tcPr>
          <w:p w14:paraId="40AA7A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</w:t>
            </w:r>
          </w:p>
        </w:tc>
        <w:tc>
          <w:tcPr>
            <w:tcW w:w="1448" w:type="dxa"/>
            <w:vAlign w:val="center"/>
          </w:tcPr>
          <w:p w14:paraId="722652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宋体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15.19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</w:p>
        </w:tc>
      </w:tr>
      <w:tr w14:paraId="04E94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continue"/>
            <w:vAlign w:val="center"/>
          </w:tcPr>
          <w:p w14:paraId="39A3A3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/>
                <w:b/>
                <w:bCs w:val="0"/>
                <w:sz w:val="24"/>
              </w:rPr>
            </w:pPr>
          </w:p>
        </w:tc>
        <w:tc>
          <w:tcPr>
            <w:tcW w:w="3151" w:type="dxa"/>
            <w:vAlign w:val="center"/>
          </w:tcPr>
          <w:p w14:paraId="468FC7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专业核心课</w:t>
            </w:r>
          </w:p>
        </w:tc>
        <w:tc>
          <w:tcPr>
            <w:tcW w:w="1592" w:type="dxa"/>
            <w:vAlign w:val="center"/>
          </w:tcPr>
          <w:p w14:paraId="7841DC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592" w:type="dxa"/>
            <w:vAlign w:val="center"/>
          </w:tcPr>
          <w:p w14:paraId="6E8347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</w:t>
            </w:r>
          </w:p>
        </w:tc>
        <w:tc>
          <w:tcPr>
            <w:tcW w:w="1448" w:type="dxa"/>
            <w:vAlign w:val="center"/>
          </w:tcPr>
          <w:p w14:paraId="26693F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宋体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17.72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</w:p>
        </w:tc>
      </w:tr>
      <w:tr w14:paraId="09F59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continue"/>
            <w:vAlign w:val="center"/>
          </w:tcPr>
          <w:p w14:paraId="7E04AC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/>
                <w:b/>
                <w:bCs w:val="0"/>
                <w:sz w:val="24"/>
              </w:rPr>
            </w:pPr>
          </w:p>
        </w:tc>
        <w:tc>
          <w:tcPr>
            <w:tcW w:w="3151" w:type="dxa"/>
            <w:vAlign w:val="center"/>
          </w:tcPr>
          <w:p w14:paraId="6542A3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</w:t>
            </w:r>
          </w:p>
        </w:tc>
        <w:tc>
          <w:tcPr>
            <w:tcW w:w="1592" w:type="dxa"/>
            <w:vAlign w:val="center"/>
          </w:tcPr>
          <w:p w14:paraId="3D3B0C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92" w:type="dxa"/>
            <w:vAlign w:val="center"/>
          </w:tcPr>
          <w:p w14:paraId="518C28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592</w:t>
            </w:r>
          </w:p>
        </w:tc>
        <w:tc>
          <w:tcPr>
            <w:tcW w:w="1448" w:type="dxa"/>
            <w:vAlign w:val="center"/>
          </w:tcPr>
          <w:p w14:paraId="28EB97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宋体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23.41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</w:p>
        </w:tc>
      </w:tr>
      <w:tr w14:paraId="4DF7A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restart"/>
            <w:vAlign w:val="center"/>
          </w:tcPr>
          <w:p w14:paraId="5A801C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选修</w:t>
            </w:r>
          </w:p>
        </w:tc>
        <w:tc>
          <w:tcPr>
            <w:tcW w:w="3151" w:type="dxa"/>
            <w:vAlign w:val="center"/>
          </w:tcPr>
          <w:p w14:paraId="5B9E0E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公共基础选修课</w:t>
            </w:r>
          </w:p>
        </w:tc>
        <w:tc>
          <w:tcPr>
            <w:tcW w:w="1592" w:type="dxa"/>
            <w:vAlign w:val="center"/>
          </w:tcPr>
          <w:p w14:paraId="3A205A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92" w:type="dxa"/>
            <w:vAlign w:val="center"/>
          </w:tcPr>
          <w:p w14:paraId="1224A8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448" w:type="dxa"/>
            <w:vAlign w:val="center"/>
          </w:tcPr>
          <w:p w14:paraId="0059A2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宋体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</w:p>
        </w:tc>
      </w:tr>
      <w:tr w14:paraId="7217D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continue"/>
            <w:vAlign w:val="center"/>
          </w:tcPr>
          <w:p w14:paraId="0950E7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/>
                <w:b/>
                <w:bCs w:val="0"/>
                <w:sz w:val="24"/>
              </w:rPr>
            </w:pPr>
          </w:p>
        </w:tc>
        <w:tc>
          <w:tcPr>
            <w:tcW w:w="3151" w:type="dxa"/>
            <w:vAlign w:val="center"/>
          </w:tcPr>
          <w:p w14:paraId="0AE008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专业拓展课</w:t>
            </w:r>
          </w:p>
        </w:tc>
        <w:tc>
          <w:tcPr>
            <w:tcW w:w="1592" w:type="dxa"/>
            <w:vAlign w:val="center"/>
          </w:tcPr>
          <w:p w14:paraId="7A4DB5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92" w:type="dxa"/>
            <w:vAlign w:val="center"/>
          </w:tcPr>
          <w:p w14:paraId="2EA513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1448" w:type="dxa"/>
            <w:vAlign w:val="center"/>
          </w:tcPr>
          <w:p w14:paraId="4542FE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宋体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10.12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</w:p>
        </w:tc>
      </w:tr>
      <w:tr w14:paraId="766B3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22" w:type="dxa"/>
            <w:gridSpan w:val="2"/>
            <w:vAlign w:val="center"/>
          </w:tcPr>
          <w:p w14:paraId="7995D2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592" w:type="dxa"/>
            <w:vAlign w:val="center"/>
          </w:tcPr>
          <w:p w14:paraId="009368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hAnsi="宋体" w:eastAsia="仿宋_GB2312"/>
                <w:b/>
                <w:bCs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eastAsia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92" w:type="dxa"/>
            <w:vAlign w:val="center"/>
          </w:tcPr>
          <w:p w14:paraId="627D88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hAnsi="宋体" w:eastAsia="仿宋_GB2312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2528</w:t>
            </w:r>
          </w:p>
        </w:tc>
        <w:tc>
          <w:tcPr>
            <w:tcW w:w="1448" w:type="dxa"/>
            <w:vAlign w:val="center"/>
          </w:tcPr>
          <w:p w14:paraId="2CD087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</w:tbl>
    <w:p w14:paraId="1F3304E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表</w:t>
      </w:r>
      <w:r>
        <w:rPr>
          <w:rFonts w:hint="eastAsia" w:ascii="仿宋_GB2312" w:hAnsi="仿宋_GB2312" w:cs="仿宋_GB2312"/>
          <w:b/>
          <w:bCs/>
          <w:sz w:val="28"/>
          <w:szCs w:val="28"/>
          <w:lang w:val="en-US" w:eastAsia="zh-CN"/>
        </w:rPr>
        <w:t>6软件技术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专业</w:t>
      </w:r>
      <w:r>
        <w:rPr>
          <w:rFonts w:hint="eastAsia" w:ascii="仿宋_GB2312" w:hAnsi="仿宋_GB2312" w:cs="仿宋_GB2312"/>
          <w:b/>
          <w:bCs/>
          <w:sz w:val="28"/>
          <w:szCs w:val="28"/>
          <w:lang w:val="en-US" w:eastAsia="zh-CN"/>
        </w:rPr>
        <w:t>公共基础课程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学时表</w:t>
      </w:r>
    </w:p>
    <w:tbl>
      <w:tblPr>
        <w:tblStyle w:val="14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3151"/>
        <w:gridCol w:w="1592"/>
        <w:gridCol w:w="1592"/>
        <w:gridCol w:w="1448"/>
      </w:tblGrid>
      <w:tr w14:paraId="5341C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3" w:hRule="atLeast"/>
          <w:jc w:val="center"/>
        </w:trPr>
        <w:tc>
          <w:tcPr>
            <w:tcW w:w="1571" w:type="dxa"/>
            <w:vAlign w:val="center"/>
          </w:tcPr>
          <w:p w14:paraId="3D56875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课程</w:t>
            </w:r>
          </w:p>
          <w:p w14:paraId="4B637982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类别</w:t>
            </w:r>
          </w:p>
        </w:tc>
        <w:tc>
          <w:tcPr>
            <w:tcW w:w="3151" w:type="dxa"/>
            <w:vAlign w:val="center"/>
          </w:tcPr>
          <w:p w14:paraId="45F6CC91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课程模块</w:t>
            </w:r>
          </w:p>
        </w:tc>
        <w:tc>
          <w:tcPr>
            <w:tcW w:w="1592" w:type="dxa"/>
            <w:vAlign w:val="center"/>
          </w:tcPr>
          <w:p w14:paraId="364FE713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课程</w:t>
            </w:r>
          </w:p>
          <w:p w14:paraId="52B45833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门数</w:t>
            </w:r>
          </w:p>
        </w:tc>
        <w:tc>
          <w:tcPr>
            <w:tcW w:w="1592" w:type="dxa"/>
            <w:vAlign w:val="center"/>
          </w:tcPr>
          <w:p w14:paraId="2E900DA1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学时数</w:t>
            </w:r>
          </w:p>
        </w:tc>
        <w:tc>
          <w:tcPr>
            <w:tcW w:w="1448" w:type="dxa"/>
            <w:vAlign w:val="center"/>
          </w:tcPr>
          <w:p w14:paraId="5430848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所占比例</w:t>
            </w:r>
          </w:p>
        </w:tc>
      </w:tr>
      <w:tr w14:paraId="01A17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restart"/>
            <w:vAlign w:val="center"/>
          </w:tcPr>
          <w:p w14:paraId="590403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hAnsi="宋体" w:eastAsia="仿宋_GB2312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公共基础课</w:t>
            </w:r>
          </w:p>
        </w:tc>
        <w:tc>
          <w:tcPr>
            <w:tcW w:w="3151" w:type="dxa"/>
            <w:vAlign w:val="center"/>
          </w:tcPr>
          <w:p w14:paraId="65AD97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公共基础必修课</w:t>
            </w:r>
          </w:p>
        </w:tc>
        <w:tc>
          <w:tcPr>
            <w:tcW w:w="1592" w:type="dxa"/>
            <w:vAlign w:val="center"/>
          </w:tcPr>
          <w:p w14:paraId="234AB5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592" w:type="dxa"/>
            <w:vAlign w:val="center"/>
          </w:tcPr>
          <w:p w14:paraId="1CA87B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784</w:t>
            </w:r>
          </w:p>
        </w:tc>
        <w:tc>
          <w:tcPr>
            <w:tcW w:w="1448" w:type="dxa"/>
            <w:vAlign w:val="center"/>
          </w:tcPr>
          <w:p w14:paraId="12753A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hAnsi="宋体"/>
                <w:b w:val="0"/>
                <w:bCs/>
                <w:sz w:val="24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31.01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</w:p>
        </w:tc>
      </w:tr>
      <w:tr w14:paraId="70EBF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continue"/>
            <w:vAlign w:val="top"/>
          </w:tcPr>
          <w:p w14:paraId="0C906A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/>
                <w:b/>
                <w:bCs w:val="0"/>
                <w:sz w:val="24"/>
              </w:rPr>
            </w:pPr>
          </w:p>
        </w:tc>
        <w:tc>
          <w:tcPr>
            <w:tcW w:w="3151" w:type="dxa"/>
            <w:vAlign w:val="center"/>
          </w:tcPr>
          <w:p w14:paraId="570DA4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公共基础选修课</w:t>
            </w:r>
          </w:p>
        </w:tc>
        <w:tc>
          <w:tcPr>
            <w:tcW w:w="1592" w:type="dxa"/>
            <w:vAlign w:val="center"/>
          </w:tcPr>
          <w:p w14:paraId="2A6C20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92" w:type="dxa"/>
            <w:vAlign w:val="center"/>
          </w:tcPr>
          <w:p w14:paraId="09AF53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64</w:t>
            </w:r>
          </w:p>
        </w:tc>
        <w:tc>
          <w:tcPr>
            <w:tcW w:w="1448" w:type="dxa"/>
            <w:vAlign w:val="center"/>
          </w:tcPr>
          <w:p w14:paraId="7B1558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hAnsi="宋体"/>
                <w:b w:val="0"/>
                <w:bCs/>
                <w:sz w:val="24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</w:p>
        </w:tc>
      </w:tr>
      <w:tr w14:paraId="0E599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06" w:type="dxa"/>
            <w:gridSpan w:val="4"/>
            <w:vAlign w:val="center"/>
          </w:tcPr>
          <w:p w14:paraId="6BD701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hAnsi="宋体"/>
                <w:b w:val="0"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合计占总学时</w:t>
            </w:r>
          </w:p>
        </w:tc>
        <w:tc>
          <w:tcPr>
            <w:tcW w:w="1448" w:type="dxa"/>
            <w:vAlign w:val="center"/>
          </w:tcPr>
          <w:p w14:paraId="1DFFCD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</w:t>
            </w: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</w:p>
        </w:tc>
      </w:tr>
    </w:tbl>
    <w:p w14:paraId="095708D9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Times New Roman" w:hAnsi="Times New Roman" w:eastAsia="黑体" w:cs="Times New Roman"/>
          <w:szCs w:val="32"/>
          <w:lang w:eastAsia="zh-CN"/>
        </w:rPr>
      </w:pPr>
      <w:bookmarkStart w:id="17" w:name="_Toc13994"/>
      <w:r>
        <w:rPr>
          <w:rFonts w:hint="eastAsia" w:ascii="Times New Roman" w:hAnsi="Times New Roman" w:eastAsia="黑体" w:cs="Times New Roman"/>
          <w:szCs w:val="32"/>
          <w:lang w:eastAsia="zh-CN"/>
        </w:rPr>
        <w:t>实施保障</w:t>
      </w:r>
      <w:bookmarkEnd w:id="17"/>
    </w:p>
    <w:p w14:paraId="72865CB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主要包括师资队伍、教学设施、教学资源、教学方法、学习评价、质量管理等方面。</w:t>
      </w:r>
    </w:p>
    <w:p w14:paraId="633462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18" w:name="_Toc19991"/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22"/>
          <w:lang w:val="en-US" w:eastAsia="zh-CN" w:bidi="ar-SA"/>
        </w:rPr>
        <w:t>（一）</w:t>
      </w:r>
      <w:r>
        <w:rPr>
          <w:rFonts w:hint="eastAsia" w:ascii="楷体_GB2312" w:hAnsi="楷体_GB2312" w:eastAsia="楷体_GB2312" w:cs="楷体_GB2312"/>
          <w:b/>
          <w:bCs/>
          <w:lang w:eastAsia="zh-CN"/>
        </w:rPr>
        <w:t>师资队伍</w:t>
      </w:r>
      <w:bookmarkEnd w:id="18"/>
    </w:p>
    <w:p w14:paraId="0CAB9C5D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b/>
          <w:bCs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按照“四有好老师”“四个相统一”“四个引路人”的要求建设专业教师队伍，将师德师风作为教师队伍建设的第一标准。</w:t>
      </w:r>
    </w:p>
    <w:p w14:paraId="2ED1750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eastAsia" w:ascii="仿宋_GB2312" w:cs="Times New Roman"/>
          <w:b/>
          <w:bCs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1.</w:t>
      </w:r>
      <w:r>
        <w:rPr>
          <w:rFonts w:hint="eastAsia" w:ascii="仿宋_GB2312" w:cs="Times New Roman"/>
          <w:b/>
          <w:bCs/>
          <w:lang w:val="en-US" w:eastAsia="zh-CN"/>
        </w:rPr>
        <w:t>队伍结构</w:t>
      </w:r>
    </w:p>
    <w:p w14:paraId="126FA71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val="en-US" w:eastAsia="zh-CN"/>
        </w:rPr>
        <w:t>本专业教师主要包括专任教师和兼职教师，共有教师28人，其中博士1人，硕士5人，副教授3人，生师比为</w:t>
      </w:r>
      <w:r>
        <w:rPr>
          <w:rFonts w:hint="eastAsia"/>
          <w:highlight w:val="none"/>
          <w:lang w:eastAsia="zh-CN"/>
        </w:rPr>
        <w:t>2</w:t>
      </w:r>
      <w:r>
        <w:rPr>
          <w:rFonts w:hint="eastAsia"/>
          <w:highlight w:val="none"/>
          <w:lang w:val="en-US" w:eastAsia="zh-CN"/>
        </w:rPr>
        <w:t>4:</w:t>
      </w:r>
      <w:r>
        <w:rPr>
          <w:rFonts w:hint="eastAsia"/>
          <w:highlight w:val="none"/>
          <w:lang w:eastAsia="zh-CN"/>
        </w:rPr>
        <w:t>1，“双师型”教师</w:t>
      </w:r>
      <w:r>
        <w:rPr>
          <w:rFonts w:hint="eastAsia"/>
          <w:highlight w:val="none"/>
          <w:lang w:val="en-US" w:eastAsia="zh-CN"/>
        </w:rPr>
        <w:t>占比为</w:t>
      </w:r>
      <w:r>
        <w:rPr>
          <w:rFonts w:hint="eastAsia"/>
          <w:highlight w:val="none"/>
          <w:lang w:eastAsia="zh-CN"/>
        </w:rPr>
        <w:t>60%，已经形成了一支以中青年教师为主体、“双师型”教师为骨干、“专兼结合”为特征的结构合理、素质较高、富有特色的教学团队。</w:t>
      </w:r>
    </w:p>
    <w:p w14:paraId="2CD8885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2.专业带头人</w:t>
      </w:r>
    </w:p>
    <w:p w14:paraId="7573282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highlight w:val="none"/>
          <w:lang w:val="en-US" w:eastAsia="zh-CN"/>
        </w:rPr>
        <w:t>专业带头人具有副高及以上职称，能够较好地把握国内外行业、专业发展，能广泛联系行业企业，了解行业企业对本专业人才的需求实际，教学设计、专业研究能力强，组织开展教科研工作能力强，在本区域或本领域具有一定的专业影响力。</w:t>
      </w:r>
    </w:p>
    <w:p w14:paraId="03C573A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3.专任教师</w:t>
      </w:r>
    </w:p>
    <w:p w14:paraId="6587F4A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Times New Roman" w:hAnsi="Times New Roman" w:cs="Times New Roman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highlight w:val="none"/>
          <w:lang w:val="en-US" w:eastAsia="zh-CN"/>
        </w:rPr>
        <w:t>专任教师</w:t>
      </w:r>
      <w:r>
        <w:rPr>
          <w:rFonts w:hint="eastAsia" w:cs="Times New Roman"/>
          <w:highlight w:val="none"/>
          <w:lang w:val="en-US" w:eastAsia="zh-CN"/>
        </w:rPr>
        <w:t>都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具有高校教师资格；有理想信念、有道德情操、有扎实学识、有仁爱之心；具有</w:t>
      </w:r>
      <w:r>
        <w:rPr>
          <w:rFonts w:hint="eastAsia" w:cs="Times New Roman"/>
          <w:highlight w:val="none"/>
          <w:lang w:val="en-US" w:eastAsia="zh-CN"/>
        </w:rPr>
        <w:t>计算机科学与技术或者软件工程等电子与信息大类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相关专业本科及以上学历；具有扎实的本专业相关理论功底和实践能力；具有较强信息化教学能力，能够开展课程教学改革和科学研究；有每</w:t>
      </w:r>
      <w:r>
        <w:rPr>
          <w:rFonts w:hint="eastAsia" w:cs="Times New Roman"/>
          <w:highlight w:val="none"/>
          <w:lang w:val="en-US" w:eastAsia="zh-CN"/>
        </w:rPr>
        <w:t>5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年累计不少于6个月的企业实践经历。</w:t>
      </w:r>
    </w:p>
    <w:p w14:paraId="0B7EC14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default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4.兼职教师</w:t>
      </w:r>
    </w:p>
    <w:p w14:paraId="01903C6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Times New Roman" w:hAnsi="Times New Roman" w:cs="Times New Roman"/>
          <w:highlight w:val="none"/>
          <w:lang w:eastAsia="zh-CN"/>
        </w:rPr>
      </w:pPr>
      <w:r>
        <w:rPr>
          <w:rFonts w:hint="eastAsia" w:ascii="Times New Roman" w:hAnsi="Times New Roman" w:cs="Times New Roman"/>
          <w:highlight w:val="none"/>
          <w:lang w:eastAsia="zh-CN"/>
        </w:rPr>
        <w:t>兼职教师主要从本专业相关的行业企业聘任，具备良好的思想政治素质、职业道德和工匠精神，具有扎实的专业知识和丰富的实际工作经验，具有中级及以上相关专业职称，能</w:t>
      </w:r>
      <w:r>
        <w:rPr>
          <w:rFonts w:hint="eastAsia" w:cs="Times New Roman"/>
          <w:highlight w:val="none"/>
          <w:lang w:eastAsia="zh-CN"/>
        </w:rPr>
        <w:t>承担</w:t>
      </w:r>
      <w:r>
        <w:rPr>
          <w:rFonts w:hint="eastAsia" w:ascii="Times New Roman" w:hAnsi="Times New Roman" w:cs="Times New Roman"/>
          <w:highlight w:val="none"/>
          <w:lang w:eastAsia="zh-CN"/>
        </w:rPr>
        <w:t>专业课程教学、实习实训指导和学生职业发展规划指导等教学任务。</w:t>
      </w:r>
    </w:p>
    <w:p w14:paraId="32CDA3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19" w:name="_Toc12484"/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22"/>
          <w:lang w:val="en-US" w:eastAsia="zh-CN" w:bidi="ar-SA"/>
        </w:rPr>
        <w:t>（二）</w:t>
      </w:r>
      <w:r>
        <w:rPr>
          <w:rFonts w:hint="eastAsia" w:ascii="楷体_GB2312" w:hAnsi="楷体_GB2312" w:eastAsia="楷体_GB2312" w:cs="楷体_GB2312"/>
          <w:b/>
          <w:bCs/>
          <w:lang w:eastAsia="zh-CN"/>
        </w:rPr>
        <w:t>教学设施</w:t>
      </w:r>
      <w:bookmarkEnd w:id="19"/>
    </w:p>
    <w:p w14:paraId="25AA71FA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为保障</w:t>
      </w:r>
      <w:r>
        <w:rPr>
          <w:rFonts w:hint="eastAsia" w:ascii="仿宋_GB2312" w:cs="Times New Roman"/>
          <w:lang w:eastAsia="zh-CN"/>
        </w:rPr>
        <w:t>软件技术</w:t>
      </w:r>
      <w:r>
        <w:rPr>
          <w:rFonts w:hint="eastAsia" w:ascii="仿宋_GB2312" w:hAnsi="Times New Roman" w:cs="Times New Roman"/>
          <w:lang w:eastAsia="zh-CN"/>
        </w:rPr>
        <w:t>专业教学与实践需求，构建“理实融合、协同育人”的教学设施体系，涵盖专业教室、</w:t>
      </w:r>
      <w:r>
        <w:rPr>
          <w:rFonts w:hint="eastAsia" w:ascii="仿宋_GB2312" w:cs="Times New Roman"/>
          <w:lang w:val="en-US" w:eastAsia="zh-CN"/>
        </w:rPr>
        <w:t>校内</w:t>
      </w:r>
      <w:r>
        <w:rPr>
          <w:rFonts w:hint="eastAsia" w:ascii="仿宋_GB2312" w:hAnsi="Times New Roman" w:cs="Times New Roman"/>
          <w:lang w:eastAsia="zh-CN"/>
        </w:rPr>
        <w:t>实验实训室及</w:t>
      </w:r>
      <w:r>
        <w:rPr>
          <w:rFonts w:hint="eastAsia" w:ascii="仿宋_GB2312" w:cs="Times New Roman"/>
          <w:lang w:val="en-US" w:eastAsia="zh-CN"/>
        </w:rPr>
        <w:t>校外</w:t>
      </w:r>
      <w:r>
        <w:rPr>
          <w:rFonts w:hint="eastAsia" w:ascii="仿宋_GB2312" w:hAnsi="Times New Roman" w:cs="Times New Roman"/>
          <w:lang w:eastAsia="zh-CN"/>
        </w:rPr>
        <w:t>实训</w:t>
      </w:r>
      <w:r>
        <w:rPr>
          <w:rFonts w:hint="eastAsia" w:ascii="仿宋_GB2312" w:cs="Times New Roman"/>
          <w:lang w:val="en-US" w:eastAsia="zh-CN"/>
        </w:rPr>
        <w:t>实践</w:t>
      </w:r>
      <w:r>
        <w:rPr>
          <w:rFonts w:hint="eastAsia" w:ascii="仿宋_GB2312" w:hAnsi="Times New Roman" w:cs="Times New Roman"/>
          <w:lang w:eastAsia="zh-CN"/>
        </w:rPr>
        <w:t>基地，具体要求如下：</w:t>
      </w:r>
    </w:p>
    <w:p w14:paraId="083A288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1.</w:t>
      </w: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专业教室</w:t>
      </w:r>
    </w:p>
    <w:p w14:paraId="399554A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黑体" w:hAnsi="黑体" w:eastAsia="黑体" w:cs="黑体"/>
          <w:color w:val="FF0000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基础配置：每间教室配备75寸教学纳米智能黑板多媒体屏幕电脑触摸一体机（CPUi5及以上、16GB内存、512GBSSD），预装专业开发软件（如HBuilderX、VSCode、IDEA、Python、MySQL</w:t>
      </w:r>
      <w:r>
        <w:rPr>
          <w:rFonts w:hint="eastAsia" w:ascii="仿宋_GB2312" w:cs="Times New Roman"/>
          <w:lang w:val="en-US" w:eastAsia="zh-CN"/>
        </w:rPr>
        <w:t>等</w:t>
      </w:r>
      <w:r>
        <w:rPr>
          <w:rFonts w:hint="eastAsia" w:ascii="仿宋_GB2312" w:hAnsi="Times New Roman" w:cs="Times New Roman"/>
          <w:lang w:eastAsia="zh-CN"/>
        </w:rPr>
        <w:t>）、虚拟机软件（</w:t>
      </w:r>
      <w:r>
        <w:rPr>
          <w:rFonts w:hint="eastAsia" w:ascii="仿宋_GB2312" w:cs="Times New Roman"/>
          <w:lang w:val="en-US" w:eastAsia="zh-CN"/>
        </w:rPr>
        <w:t>VM</w:t>
      </w:r>
      <w:r>
        <w:rPr>
          <w:rFonts w:hint="eastAsia" w:ascii="仿宋_GB2312" w:hAnsi="Times New Roman" w:cs="Times New Roman"/>
          <w:lang w:eastAsia="zh-CN"/>
        </w:rPr>
        <w:t>ware）及</w:t>
      </w:r>
      <w:r>
        <w:rPr>
          <w:rFonts w:hint="eastAsia" w:ascii="仿宋_GB2312" w:cs="Times New Roman"/>
          <w:lang w:val="en-US" w:eastAsia="zh-CN"/>
        </w:rPr>
        <w:t>H3C虚拟仿真</w:t>
      </w:r>
      <w:r>
        <w:rPr>
          <w:rFonts w:hint="eastAsia" w:ascii="仿宋_GB2312" w:hAnsi="Times New Roman" w:cs="Times New Roman"/>
          <w:lang w:eastAsia="zh-CN"/>
        </w:rPr>
        <w:t>网络</w:t>
      </w:r>
      <w:r>
        <w:rPr>
          <w:rFonts w:hint="eastAsia" w:ascii="仿宋_GB2312" w:cs="Times New Roman"/>
          <w:lang w:val="en-US" w:eastAsia="zh-CN"/>
        </w:rPr>
        <w:t>实验工具</w:t>
      </w: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HCL</w:t>
      </w:r>
      <w:r>
        <w:rPr>
          <w:rFonts w:hint="eastAsia" w:ascii="仿宋_GB2312" w:hAnsi="Times New Roman" w:cs="Times New Roman"/>
          <w:lang w:eastAsia="zh-CN"/>
        </w:rPr>
        <w:t>），部署千兆有线+5G无线双网络，保障在线资源访问、云平台实训及企业专家远程指导。</w:t>
      </w:r>
    </w:p>
    <w:p w14:paraId="38BD885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2.校内实验实训室</w:t>
      </w:r>
    </w:p>
    <w:p w14:paraId="7D6F44C9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</w:pPr>
      <w:r>
        <w:rPr>
          <w:rFonts w:hint="eastAsia" w:ascii="仿宋_GB2312" w:hAnsi="Times New Roman" w:cs="Times New Roman"/>
          <w:lang w:eastAsia="zh-CN"/>
        </w:rPr>
        <w:t>围绕专业核心技术方向，建设“分层进阶+场景化”校内实验实训室集群，支撑课程实验与技术创新：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68"/>
        <w:gridCol w:w="2263"/>
        <w:gridCol w:w="2907"/>
        <w:gridCol w:w="2408"/>
      </w:tblGrid>
      <w:tr w14:paraId="279E4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68" w:type="dxa"/>
            <w:tcBorders>
              <w:top w:val="nil"/>
              <w:left w:val="nil"/>
              <w:bottom w:val="nil"/>
            </w:tcBorders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5465C7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val="en-US" w:eastAsia="zh-CN"/>
              </w:rPr>
              <w:t>实验室名称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</w:tcBorders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59458D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val="en-US" w:eastAsia="zh-CN"/>
              </w:rPr>
              <w:t>功能定位</w:t>
            </w:r>
          </w:p>
        </w:tc>
        <w:tc>
          <w:tcPr>
            <w:tcW w:w="2907" w:type="dxa"/>
            <w:tcBorders>
              <w:top w:val="nil"/>
              <w:left w:val="nil"/>
              <w:bottom w:val="nil"/>
            </w:tcBorders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E8E2D5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val="en-US" w:eastAsia="zh-CN"/>
              </w:rPr>
              <w:t>核心设备/软件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B44D19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val="en-US" w:eastAsia="zh-CN"/>
              </w:rPr>
              <w:t>对应课程</w:t>
            </w:r>
          </w:p>
        </w:tc>
      </w:tr>
      <w:tr w14:paraId="29DA1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68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69FE9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计算机组装与维护实验室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A48F6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硬件拆装、故障诊断与底层原理实践（CPU、主板、网络设备等）</w:t>
            </w:r>
          </w:p>
        </w:tc>
        <w:tc>
          <w:tcPr>
            <w:tcW w:w="2907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84FBE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硬件拆装套件（含主板、CPU、硬盘、显卡）、数字示波器、硬件检测工具（Debug卡）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743CC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《计算机组成与维护》</w:t>
            </w:r>
          </w:p>
        </w:tc>
      </w:tr>
      <w:tr w14:paraId="0AEDD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68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258D7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计算机</w:t>
            </w: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网络实验室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820EE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网络架构搭建、设备配置与网络安全实训（路由交换、防火墙部署）</w:t>
            </w:r>
          </w:p>
        </w:tc>
        <w:tc>
          <w:tcPr>
            <w:tcW w:w="2907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6858AE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华为</w:t>
            </w: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网络设备（路由器、交换机、防火墙）、Wireshark抓包工具、eNSP仿真软件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6FBA8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《计算机网络基础》《网络操作系统》</w:t>
            </w: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《网络交换与路由技术》《网络安全技术》</w:t>
            </w:r>
          </w:p>
        </w:tc>
      </w:tr>
      <w:tr w14:paraId="3915E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68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AA6D5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计算机</w:t>
            </w: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软件开发实验室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1248A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多语言软件开发全流程实践（需求分析、编码测试、版本控制）</w:t>
            </w:r>
          </w:p>
        </w:tc>
        <w:tc>
          <w:tcPr>
            <w:tcW w:w="2907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737D3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开发服务器集群</w:t>
            </w: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，Java运行环境，Web开发运行环境，Python开发运行环境，图形图像开发软件（如PS等）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694C5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《Java程序设计》《前端设计与开发》</w:t>
            </w: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《Python程序设计》《动态网站开发》《图形图像处理》</w:t>
            </w:r>
          </w:p>
        </w:tc>
      </w:tr>
      <w:tr w14:paraId="58250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25" w:hRule="atLeast"/>
        </w:trPr>
        <w:tc>
          <w:tcPr>
            <w:tcW w:w="1268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1840D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大数据与AI实验室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D12B9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大数据采集分析、机器学习模型训练与部署（数据挖掘、深度学习基础）</w:t>
            </w:r>
          </w:p>
        </w:tc>
        <w:tc>
          <w:tcPr>
            <w:tcW w:w="2907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639FDA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高性能GPU服务器、Hadoop/Spark集群、TensorFlow/PyTorch框架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FEBE8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《人工智能基础》</w:t>
            </w: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《数据结构与算法分析》《数据库技术及应用》</w:t>
            </w: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《信息采集与预处理技术》《数据分析与可视化》《大数据与云计算技术》</w:t>
            </w:r>
          </w:p>
        </w:tc>
      </w:tr>
    </w:tbl>
    <w:p w14:paraId="25FC867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3.校外实训实践基地</w:t>
      </w:r>
    </w:p>
    <w:p w14:paraId="54BE66A1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聚焦</w:t>
      </w:r>
      <w:r>
        <w:rPr>
          <w:rFonts w:hint="eastAsia" w:ascii="仿宋_GB2312" w:cs="Times New Roman"/>
          <w:lang w:eastAsia="zh-CN"/>
        </w:rPr>
        <w:t>“</w:t>
      </w:r>
      <w:r>
        <w:rPr>
          <w:rFonts w:hint="eastAsia" w:ascii="仿宋_GB2312" w:hAnsi="Times New Roman" w:cs="Times New Roman"/>
          <w:lang w:eastAsia="zh-CN"/>
        </w:rPr>
        <w:t>岗位技能仿真+项目实战</w:t>
      </w:r>
      <w:r>
        <w:rPr>
          <w:rFonts w:hint="eastAsia" w:ascii="仿宋_GB2312" w:cs="Times New Roman"/>
          <w:lang w:eastAsia="zh-CN"/>
        </w:rPr>
        <w:t>”</w:t>
      </w:r>
      <w:r>
        <w:rPr>
          <w:rFonts w:hint="eastAsia" w:ascii="仿宋_GB2312" w:hAnsi="Times New Roman" w:cs="Times New Roman"/>
          <w:lang w:eastAsia="zh-CN"/>
        </w:rPr>
        <w:t>，建设贴近行业需求的实训室，实现“教学</w:t>
      </w:r>
      <w:r>
        <w:rPr>
          <w:rFonts w:hint="eastAsia" w:ascii="仿宋_GB2312" w:cs="Times New Roman"/>
          <w:lang w:eastAsia="zh-CN"/>
        </w:rPr>
        <w:t>－</w:t>
      </w:r>
      <w:r>
        <w:rPr>
          <w:rFonts w:hint="eastAsia" w:ascii="仿宋_GB2312" w:hAnsi="Times New Roman" w:cs="Times New Roman"/>
          <w:lang w:eastAsia="zh-CN"/>
        </w:rPr>
        <w:t>实训</w:t>
      </w:r>
      <w:r>
        <w:rPr>
          <w:rFonts w:hint="eastAsia" w:ascii="仿宋_GB2312" w:cs="Times New Roman"/>
          <w:lang w:eastAsia="zh-CN"/>
        </w:rPr>
        <w:t>－</w:t>
      </w:r>
      <w:r>
        <w:rPr>
          <w:rFonts w:hint="eastAsia" w:ascii="仿宋_GB2312" w:hAnsi="Times New Roman" w:cs="Times New Roman"/>
          <w:lang w:eastAsia="zh-CN"/>
        </w:rPr>
        <w:t>就业”衔接：</w:t>
      </w:r>
    </w:p>
    <w:p w14:paraId="3D92BEED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合作企业类型：覆盖软件与信息服务、互联网、智能制造、金融科技等领域。</w:t>
      </w:r>
    </w:p>
    <w:p w14:paraId="69C92AAD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基地建设标准：企业需提供真实岗位，明确岗位任务与技能要求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eastAsia="zh-CN"/>
        </w:rPr>
        <w:t>配备企业导师，与校内教师协同指导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eastAsia="zh-CN"/>
        </w:rPr>
        <w:t>制定实习大纲，包含技术培训、职业素养培养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eastAsia="zh-CN"/>
        </w:rPr>
        <w:t>建立考核机制，通过项目成果、日常表现、答辩评审评价实习质量，企业出具实习证明。</w:t>
      </w:r>
    </w:p>
    <w:p w14:paraId="30B0A437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基地数量与覆盖：签约校外基地不少于10家，保障每届学生6个月以上顶岗实习，按方向分类：软件开发类4家、网络运维类3家、大数据/AI类2家、行业应用类1家。</w:t>
      </w:r>
    </w:p>
    <w:p w14:paraId="03AF04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20" w:name="_Toc12042"/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22"/>
          <w:lang w:val="en-US" w:eastAsia="zh-CN" w:bidi="ar-SA"/>
        </w:rPr>
        <w:t>（三）</w:t>
      </w:r>
      <w:r>
        <w:rPr>
          <w:rFonts w:hint="eastAsia" w:ascii="楷体_GB2312" w:hAnsi="楷体_GB2312" w:eastAsia="楷体_GB2312" w:cs="楷体_GB2312"/>
          <w:b/>
          <w:bCs/>
          <w:lang w:eastAsia="zh-CN"/>
        </w:rPr>
        <w:t>教学资源</w:t>
      </w:r>
      <w:bookmarkEnd w:id="20"/>
    </w:p>
    <w:p w14:paraId="7C663517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构建“教材</w:t>
      </w:r>
      <w:r>
        <w:rPr>
          <w:rFonts w:hint="eastAsia" w:ascii="仿宋_GB2312" w:cs="Times New Roman"/>
          <w:lang w:val="en-US" w:eastAsia="zh-CN"/>
        </w:rPr>
        <w:t>－</w:t>
      </w:r>
      <w:r>
        <w:rPr>
          <w:rFonts w:hint="eastAsia" w:ascii="仿宋_GB2312" w:hAnsi="Times New Roman" w:cs="Times New Roman"/>
          <w:lang w:val="en-US" w:eastAsia="zh-CN"/>
        </w:rPr>
        <w:t>图书</w:t>
      </w:r>
      <w:r>
        <w:rPr>
          <w:rFonts w:hint="eastAsia" w:ascii="仿宋_GB2312" w:cs="Times New Roman"/>
          <w:lang w:val="en-US" w:eastAsia="zh-CN"/>
        </w:rPr>
        <w:t>－</w:t>
      </w:r>
      <w:r>
        <w:rPr>
          <w:rFonts w:hint="eastAsia" w:ascii="仿宋_GB2312" w:hAnsi="Times New Roman" w:cs="Times New Roman"/>
          <w:lang w:val="en-US" w:eastAsia="zh-CN"/>
        </w:rPr>
        <w:t>数字资源”三位一体体系，保障教与学的科学性、前沿性与实用性：</w:t>
      </w:r>
    </w:p>
    <w:p w14:paraId="68CA050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3" w:firstLineChars="200"/>
        <w:outlineLvl w:val="2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1.教材选用基本要求</w:t>
      </w:r>
    </w:p>
    <w:p w14:paraId="5A1F71AF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规范流程：严格执行“个人申报→教研室初审→</w:t>
      </w:r>
      <w:r>
        <w:rPr>
          <w:rFonts w:hint="eastAsia" w:ascii="仿宋_GB2312" w:cs="Times New Roman"/>
          <w:lang w:val="en-US" w:eastAsia="zh-CN"/>
        </w:rPr>
        <w:t>二级学院</w:t>
      </w:r>
      <w:r>
        <w:rPr>
          <w:rFonts w:hint="eastAsia" w:ascii="仿宋_GB2312" w:hAnsi="Times New Roman" w:cs="Times New Roman"/>
          <w:lang w:val="en-US" w:eastAsia="zh-CN"/>
        </w:rPr>
        <w:t>审定→教务处备案”流程，确保教材政治方向正确、内容质量达标；</w:t>
      </w:r>
    </w:p>
    <w:p w14:paraId="4A49C9E8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优先标准：优先选用“十四五”职业教育国家规划教材、国家优秀教材</w:t>
      </w:r>
      <w:r>
        <w:rPr>
          <w:rFonts w:hint="eastAsia" w:ascii="仿宋_GB2312" w:cs="Times New Roman"/>
          <w:lang w:val="en-US" w:eastAsia="zh-CN"/>
        </w:rPr>
        <w:t>、校企合作精品教材等</w:t>
      </w:r>
      <w:r>
        <w:rPr>
          <w:rFonts w:hint="eastAsia" w:ascii="仿宋_GB2312" w:hAnsi="Times New Roman" w:cs="Times New Roman"/>
          <w:lang w:val="en-US" w:eastAsia="zh-CN"/>
        </w:rPr>
        <w:t>；</w:t>
      </w:r>
    </w:p>
    <w:p w14:paraId="02F5FD9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动态更新：专业课程教材需体现行业新技术、新规范，每</w:t>
      </w:r>
      <w:r>
        <w:rPr>
          <w:rFonts w:hint="eastAsia" w:ascii="仿宋_GB2312" w:cs="Times New Roman"/>
          <w:lang w:val="en-US" w:eastAsia="zh-CN"/>
        </w:rPr>
        <w:t>3</w:t>
      </w:r>
      <w:r>
        <w:rPr>
          <w:rFonts w:hint="eastAsia" w:ascii="仿宋_GB2312" w:hAnsi="Times New Roman" w:cs="Times New Roman"/>
          <w:lang w:val="en-US" w:eastAsia="zh-CN"/>
        </w:rPr>
        <w:t>年评估更新，鼓励采用数字教材、活页式教材，适配技术迭代。</w:t>
      </w:r>
    </w:p>
    <w:p w14:paraId="577D0E7E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3" w:firstLineChars="200"/>
        <w:outlineLvl w:val="2"/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2.图书文献配备基本要求</w:t>
      </w:r>
    </w:p>
    <w:p w14:paraId="0DDA5C81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配备</w:t>
      </w:r>
      <w:r>
        <w:rPr>
          <w:rFonts w:hint="eastAsia" w:ascii="仿宋_GB2312" w:cs="Times New Roman"/>
          <w:lang w:val="en-US" w:eastAsia="zh-CN"/>
        </w:rPr>
        <w:t>软件技术</w:t>
      </w:r>
      <w:r>
        <w:rPr>
          <w:rFonts w:hint="eastAsia" w:ascii="仿宋_GB2312" w:hAnsi="Times New Roman" w:cs="Times New Roman"/>
          <w:lang w:val="en-US" w:eastAsia="zh-CN"/>
        </w:rPr>
        <w:t>核心领域图书，涵盖：</w:t>
      </w:r>
    </w:p>
    <w:p w14:paraId="25450F2B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技术基础：《数据结构与算法分析》《操作系统原理》；</w:t>
      </w:r>
    </w:p>
    <w:p w14:paraId="1173BA7D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前沿应用：《大模型开发实战》《边缘计算技术指南》；</w:t>
      </w:r>
    </w:p>
    <w:p w14:paraId="6CB3162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行业标准：《GB/T25068信息安全技术标准》《软件工程国家标准汇编》；</w:t>
      </w:r>
    </w:p>
    <w:p w14:paraId="10B036F8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职业发展：《程序员职业规划与成长指南》《IT项目管理实战》。</w:t>
      </w:r>
    </w:p>
    <w:p w14:paraId="08182B5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动态补充：每年新增图书不少于</w:t>
      </w:r>
      <w:r>
        <w:rPr>
          <w:rFonts w:hint="eastAsia" w:ascii="仿宋_GB2312" w:cs="Times New Roman"/>
          <w:lang w:val="en-US" w:eastAsia="zh-CN"/>
        </w:rPr>
        <w:t>20</w:t>
      </w:r>
      <w:r>
        <w:rPr>
          <w:rFonts w:hint="eastAsia" w:ascii="仿宋_GB2312" w:hAnsi="Times New Roman" w:cs="Times New Roman"/>
          <w:lang w:val="en-US" w:eastAsia="zh-CN"/>
        </w:rPr>
        <w:t>册，重点补充新经济、新技术、新工艺相关文献，保障教科研与职业发展需求。</w:t>
      </w:r>
    </w:p>
    <w:p w14:paraId="3A9731F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3.数字教学资源配置基本要求</w:t>
      </w:r>
    </w:p>
    <w:p w14:paraId="3CF818B1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音视频素材：每门核心课程配套不少于</w:t>
      </w:r>
      <w:r>
        <w:rPr>
          <w:rFonts w:hint="eastAsia" w:ascii="仿宋_GB2312" w:cs="Times New Roman"/>
          <w:lang w:val="en-US" w:eastAsia="zh-CN"/>
        </w:rPr>
        <w:t>15</w:t>
      </w:r>
      <w:r>
        <w:rPr>
          <w:rFonts w:hint="eastAsia" w:ascii="仿宋_GB2312" w:hAnsi="Times New Roman" w:cs="Times New Roman"/>
          <w:lang w:val="en-US" w:eastAsia="zh-CN"/>
        </w:rPr>
        <w:t>个微课视频、操作演示动画；</w:t>
      </w:r>
    </w:p>
    <w:p w14:paraId="2EA034D8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教学课件：开发交互式课件，嵌入代码示例、在线测试题，支持移动端访问；</w:t>
      </w:r>
    </w:p>
    <w:p w14:paraId="6B28ADD0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数字化案例库：汇聚企业真实项目案例，含需求文档、代码、部署方案，每学期更新</w:t>
      </w:r>
      <w:r>
        <w:rPr>
          <w:rFonts w:hint="eastAsia" w:ascii="仿宋_GB2312" w:cs="Times New Roman"/>
          <w:lang w:val="en-US" w:eastAsia="zh-CN"/>
        </w:rPr>
        <w:t>5</w:t>
      </w:r>
      <w:r>
        <w:rPr>
          <w:rFonts w:hint="eastAsia" w:ascii="仿宋_GB2312" w:hAnsi="Times New Roman" w:cs="Times New Roman"/>
          <w:lang w:val="en-US" w:eastAsia="zh-CN"/>
        </w:rPr>
        <w:t>个以上；</w:t>
      </w:r>
    </w:p>
    <w:p w14:paraId="229DC99B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虚拟仿真软件：覆盖硬件拆装（虚拟计算机组装）、网络配置（虚拟网络拓扑），实现“虚实结合”实训。</w:t>
      </w:r>
    </w:p>
    <w:p w14:paraId="0BD2A29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平台建设：搭建专业教学资源库平台，支持资源分类检索、在线学习、学情分析，与国家职业教育智慧教育平台对接，保障资源动态更新与共享。</w:t>
      </w:r>
    </w:p>
    <w:p w14:paraId="1262D7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21" w:name="_Toc7621"/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22"/>
          <w:lang w:val="en-US" w:eastAsia="zh-CN" w:bidi="ar-SA"/>
        </w:rPr>
        <w:t>（四）</w:t>
      </w:r>
      <w:r>
        <w:rPr>
          <w:rFonts w:hint="eastAsia" w:ascii="楷体_GB2312" w:hAnsi="楷体_GB2312" w:eastAsia="楷体_GB2312" w:cs="楷体_GB2312"/>
          <w:b/>
          <w:bCs/>
          <w:lang w:eastAsia="zh-CN"/>
        </w:rPr>
        <w:t>教学方法</w:t>
      </w:r>
      <w:bookmarkEnd w:id="21"/>
    </w:p>
    <w:p w14:paraId="3B74B29F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聚焦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以学生为中心、以能力为导向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，采用多元教学方法融合，实现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学</w:t>
      </w:r>
      <w:r>
        <w:rPr>
          <w:rFonts w:hint="eastAsia" w:ascii="仿宋_GB2312" w:cs="Times New Roman"/>
          <w:lang w:val="en-US" w:eastAsia="zh-CN"/>
        </w:rPr>
        <w:t>－</w:t>
      </w:r>
      <w:r>
        <w:rPr>
          <w:rFonts w:hint="default" w:ascii="仿宋_GB2312" w:cs="Times New Roman"/>
          <w:lang w:val="en-US" w:eastAsia="zh-CN"/>
        </w:rPr>
        <w:t>做</w:t>
      </w:r>
      <w:r>
        <w:rPr>
          <w:rFonts w:hint="eastAsia" w:ascii="仿宋_GB2312" w:cs="Times New Roman"/>
          <w:lang w:val="en-US" w:eastAsia="zh-CN"/>
        </w:rPr>
        <w:t>－</w:t>
      </w:r>
      <w:r>
        <w:rPr>
          <w:rFonts w:hint="default" w:ascii="仿宋_GB2312" w:cs="Times New Roman"/>
          <w:lang w:val="en-US" w:eastAsia="zh-CN"/>
        </w:rPr>
        <w:t>用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一体化：</w:t>
      </w:r>
    </w:p>
    <w:p w14:paraId="6AF8FAC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default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1.</w:t>
      </w:r>
      <w:r>
        <w:rPr>
          <w:rFonts w:hint="default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理论教学方法</w:t>
      </w:r>
    </w:p>
    <w:p w14:paraId="1ABD9A94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启发式教学：以问题为导向，引导学生关联知识，推导解决方案；</w:t>
      </w:r>
    </w:p>
    <w:p w14:paraId="5F98CFA0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案例式教学：引入企业真实案例，拆解技术难点，分析解决路径；</w:t>
      </w:r>
    </w:p>
    <w:p w14:paraId="44CE1909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情景模拟教学：模拟职场场景，让学生扮演</w:t>
      </w:r>
      <w:r>
        <w:rPr>
          <w:rFonts w:hint="eastAsia" w:ascii="仿宋_GB2312" w:cs="Times New Roman"/>
          <w:lang w:val="en-US" w:eastAsia="zh-CN"/>
        </w:rPr>
        <w:t>“网络</w:t>
      </w:r>
      <w:r>
        <w:rPr>
          <w:rFonts w:hint="default" w:ascii="仿宋_GB2312" w:cs="Times New Roman"/>
          <w:lang w:val="en-US" w:eastAsia="zh-CN"/>
        </w:rPr>
        <w:t>工程师</w:t>
      </w:r>
      <w:r>
        <w:rPr>
          <w:rFonts w:hint="eastAsia" w:ascii="仿宋_GB2312" w:cs="Times New Roman"/>
          <w:lang w:val="en-US" w:eastAsia="zh-CN"/>
        </w:rPr>
        <w:t>”“</w:t>
      </w:r>
      <w:r>
        <w:rPr>
          <w:rFonts w:hint="default" w:ascii="仿宋_GB2312" w:cs="Times New Roman"/>
          <w:lang w:val="en-US" w:eastAsia="zh-CN"/>
        </w:rPr>
        <w:t>甲方需求方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，强化沟通与协作能力。</w:t>
      </w:r>
    </w:p>
    <w:p w14:paraId="3CCEC21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2.</w:t>
      </w:r>
      <w:r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  <w:t>实践教学方法</w:t>
      </w:r>
    </w:p>
    <w:p w14:paraId="7881BAF9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任务驱动教学：将课程拆解为递进式任务（如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HTML</w:t>
      </w:r>
      <w:r>
        <w:rPr>
          <w:rFonts w:hint="eastAsia" w:ascii="仿宋_GB2312" w:cs="Times New Roman"/>
          <w:lang w:val="en-US" w:eastAsia="zh-CN"/>
        </w:rPr>
        <w:t>结构</w:t>
      </w:r>
      <w:r>
        <w:rPr>
          <w:rFonts w:hint="default" w:ascii="仿宋_GB2312" w:cs="Times New Roman"/>
          <w:lang w:val="en-US" w:eastAsia="zh-CN"/>
        </w:rPr>
        <w:t>→</w:t>
      </w:r>
      <w:r>
        <w:rPr>
          <w:rFonts w:hint="eastAsia" w:ascii="仿宋_GB2312" w:cs="Times New Roman"/>
          <w:lang w:val="en-US" w:eastAsia="zh-CN"/>
        </w:rPr>
        <w:t>CSS样式</w:t>
      </w:r>
      <w:r>
        <w:rPr>
          <w:rFonts w:hint="default" w:ascii="仿宋_GB2312" w:cs="Times New Roman"/>
          <w:lang w:val="en-US" w:eastAsia="zh-CN"/>
        </w:rPr>
        <w:t>→</w:t>
      </w:r>
      <w:r>
        <w:rPr>
          <w:rFonts w:hint="eastAsia" w:ascii="仿宋_GB2312" w:cs="Times New Roman"/>
          <w:lang w:val="en-US" w:eastAsia="zh-CN"/>
        </w:rPr>
        <w:t>JavaScript行为</w:t>
      </w:r>
      <w:r>
        <w:rPr>
          <w:rFonts w:hint="default" w:ascii="仿宋_GB2312" w:cs="Times New Roman"/>
          <w:lang w:val="en-US" w:eastAsia="zh-CN"/>
        </w:rPr>
        <w:t>→</w:t>
      </w:r>
      <w:r>
        <w:rPr>
          <w:rFonts w:hint="eastAsia" w:ascii="仿宋_GB2312" w:cs="Times New Roman"/>
          <w:lang w:val="en-US" w:eastAsia="zh-CN"/>
        </w:rPr>
        <w:t>Vue搭建框架”</w:t>
      </w:r>
      <w:r>
        <w:rPr>
          <w:rFonts w:hint="default" w:ascii="仿宋_GB2312" w:cs="Times New Roman"/>
          <w:lang w:val="en-US" w:eastAsia="zh-CN"/>
        </w:rPr>
        <w:t>），明确任务目标、成果要求，过程中融入知识点；</w:t>
      </w:r>
    </w:p>
    <w:p w14:paraId="5702E383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项目导向教学：以企业级项目为主线（如</w:t>
      </w:r>
      <w:r>
        <w:rPr>
          <w:rFonts w:hint="eastAsia" w:ascii="仿宋_GB2312" w:cs="Times New Roman"/>
          <w:lang w:val="en-US" w:eastAsia="zh-CN"/>
        </w:rPr>
        <w:t>“小米商城页面开发”</w:t>
      </w:r>
      <w:r>
        <w:rPr>
          <w:rFonts w:hint="default" w:ascii="仿宋_GB2312" w:cs="Times New Roman"/>
          <w:lang w:val="en-US" w:eastAsia="zh-CN"/>
        </w:rPr>
        <w:t>），跨课程整合知识（前端、后端、数据库），实现“需求分析→设计→编码→测试”全流程实践；</w:t>
      </w:r>
    </w:p>
    <w:p w14:paraId="4DF9D274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软件实操教学：结合真实开发工具（如Git、Jenkins），让学生掌握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代码提交→持续集成→部署上线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完整流程，强化工程化思维。</w:t>
      </w:r>
    </w:p>
    <w:p w14:paraId="2E4ADF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22" w:name="_Toc16290"/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22"/>
          <w:lang w:val="en-US" w:eastAsia="zh-CN" w:bidi="ar-SA"/>
        </w:rPr>
        <w:t>（五）</w:t>
      </w:r>
      <w:r>
        <w:rPr>
          <w:rFonts w:hint="eastAsia" w:ascii="楷体_GB2312" w:hAnsi="楷体_GB2312" w:eastAsia="楷体_GB2312" w:cs="楷体_GB2312"/>
          <w:b/>
          <w:bCs/>
          <w:lang w:eastAsia="zh-CN"/>
        </w:rPr>
        <w:t>学习评价</w:t>
      </w:r>
      <w:bookmarkEnd w:id="22"/>
    </w:p>
    <w:p w14:paraId="6CCB8425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jc w:val="left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构建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过程+实践+证书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三维评价体系，全面衡量学生知识、技能与职业素养：</w:t>
      </w:r>
    </w:p>
    <w:p w14:paraId="35353B5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1.</w:t>
      </w:r>
      <w:r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  <w:t>课程学习评价</w:t>
      </w:r>
    </w:p>
    <w:p w14:paraId="65767F3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过程性考核（占比</w:t>
      </w:r>
      <w:r>
        <w:rPr>
          <w:rFonts w:hint="eastAsia" w:ascii="仿宋_GB2312" w:cs="Times New Roman"/>
          <w:lang w:val="en-US" w:eastAsia="zh-CN"/>
        </w:rPr>
        <w:t>40</w:t>
      </w:r>
      <w:r>
        <w:rPr>
          <w:rFonts w:hint="default" w:ascii="仿宋_GB2312" w:cs="Times New Roman"/>
          <w:lang w:val="en-US" w:eastAsia="zh-CN"/>
        </w:rPr>
        <w:t>%）：包含课堂表现、作业质量、阶段性实训，通过学习平台实时记录与反馈；</w:t>
      </w:r>
    </w:p>
    <w:p w14:paraId="41C35B29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终结性考核（占比</w:t>
      </w:r>
      <w:r>
        <w:rPr>
          <w:rFonts w:hint="eastAsia" w:ascii="仿宋_GB2312" w:cs="Times New Roman"/>
          <w:lang w:val="en-US" w:eastAsia="zh-CN"/>
        </w:rPr>
        <w:t>6</w:t>
      </w:r>
      <w:r>
        <w:rPr>
          <w:rFonts w:hint="default" w:ascii="仿宋_GB2312" w:cs="Times New Roman"/>
          <w:lang w:val="en-US" w:eastAsia="zh-CN"/>
        </w:rPr>
        <w:t>0%）：理论考核（闭卷/开卷，侧重知识应用）+综合项目验收（如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Web</w:t>
      </w:r>
      <w:r>
        <w:rPr>
          <w:rFonts w:hint="eastAsia" w:ascii="仿宋_GB2312" w:cs="Times New Roman"/>
          <w:lang w:val="en-US" w:eastAsia="zh-CN"/>
        </w:rPr>
        <w:t>项目</w:t>
      </w:r>
      <w:r>
        <w:rPr>
          <w:rFonts w:hint="default" w:ascii="仿宋_GB2312" w:cs="Times New Roman"/>
          <w:lang w:val="en-US" w:eastAsia="zh-CN"/>
        </w:rPr>
        <w:t>开发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），采用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代码评审+答辩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方式</w:t>
      </w:r>
      <w:r>
        <w:rPr>
          <w:rFonts w:hint="eastAsia" w:ascii="仿宋_GB2312" w:cs="Times New Roman"/>
          <w:lang w:val="en-US" w:eastAsia="zh-CN"/>
        </w:rPr>
        <w:t>。</w:t>
      </w:r>
    </w:p>
    <w:p w14:paraId="2DB4752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2.</w:t>
      </w:r>
      <w:r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  <w:t>实践能力评价</w:t>
      </w:r>
    </w:p>
    <w:p w14:paraId="36BCADCE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实训任务：完成校内</w:t>
      </w:r>
      <w:r>
        <w:rPr>
          <w:rFonts w:hint="eastAsia" w:ascii="仿宋_GB2312" w:cs="Times New Roman"/>
          <w:lang w:val="en-US" w:eastAsia="zh-CN"/>
        </w:rPr>
        <w:t>外</w:t>
      </w:r>
      <w:r>
        <w:rPr>
          <w:rFonts w:hint="default" w:ascii="仿宋_GB2312" w:cs="Times New Roman"/>
          <w:lang w:val="en-US" w:eastAsia="zh-CN"/>
        </w:rPr>
        <w:t>实训项目，提交《</w:t>
      </w:r>
      <w:r>
        <w:rPr>
          <w:rFonts w:hint="eastAsia" w:ascii="仿宋_GB2312" w:cs="Times New Roman"/>
          <w:lang w:val="en-US" w:eastAsia="zh-CN"/>
        </w:rPr>
        <w:t>实训</w:t>
      </w:r>
      <w:r>
        <w:rPr>
          <w:rFonts w:hint="default" w:ascii="仿宋_GB2312" w:cs="Times New Roman"/>
          <w:lang w:val="en-US" w:eastAsia="zh-CN"/>
        </w:rPr>
        <w:t>日志》，由教师按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技能掌握度（40%）+职业素养（30%）+成果价值（30%）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评分；</w:t>
      </w:r>
    </w:p>
    <w:p w14:paraId="7076DB0B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技能提升认证：参与专业技能竞赛（如全国职业院校技能大赛）、企业技术认证（如</w:t>
      </w:r>
      <w:r>
        <w:rPr>
          <w:rFonts w:hint="eastAsia" w:ascii="仿宋_GB2312" w:cs="Times New Roman"/>
          <w:lang w:val="en-US" w:eastAsia="zh-CN"/>
        </w:rPr>
        <w:t>华为网络工程师</w:t>
      </w:r>
      <w:r>
        <w:rPr>
          <w:rFonts w:hint="default" w:ascii="仿宋_GB2312" w:cs="Times New Roman"/>
          <w:lang w:val="en-US" w:eastAsia="zh-CN"/>
        </w:rPr>
        <w:t>认证），获奖或通过认证可置换学分、优先推荐就业。</w:t>
      </w:r>
    </w:p>
    <w:p w14:paraId="77ED870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3.</w:t>
      </w:r>
      <w:r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  <w:t>职业证书评价</w:t>
      </w:r>
    </w:p>
    <w:p w14:paraId="61EAA820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1+X证书：鼓励考取与专业适配的1+X证书，如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Web前端开发职业技能等级证书</w:t>
      </w:r>
      <w:r>
        <w:rPr>
          <w:rFonts w:hint="eastAsia" w:ascii="仿宋_GB2312" w:cs="Times New Roman"/>
          <w:lang w:val="en-US" w:eastAsia="zh-CN"/>
        </w:rPr>
        <w:t>”“</w:t>
      </w:r>
      <w:r>
        <w:rPr>
          <w:rFonts w:hint="default" w:ascii="仿宋_GB2312" w:cs="Times New Roman"/>
          <w:lang w:val="en-US" w:eastAsia="zh-CN"/>
        </w:rPr>
        <w:t>大数据应用开发职业技能等级证书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，证书等级对应课程学分置换（初级置换2学分，中级置换4学分）</w:t>
      </w:r>
      <w:r>
        <w:rPr>
          <w:rFonts w:hint="eastAsia" w:ascii="仿宋_GB2312" w:cs="Times New Roman"/>
          <w:lang w:val="en-US" w:eastAsia="zh-CN"/>
        </w:rPr>
        <w:t>；</w:t>
      </w:r>
    </w:p>
    <w:p w14:paraId="49C93207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职业资格/技能等级证书：支持</w:t>
      </w:r>
      <w:r>
        <w:rPr>
          <w:rFonts w:hint="eastAsia" w:ascii="仿宋_GB2312" w:cs="Times New Roman"/>
          <w:lang w:val="en-US" w:eastAsia="zh-CN"/>
        </w:rPr>
        <w:t>获取</w:t>
      </w:r>
      <w:r>
        <w:rPr>
          <w:rFonts w:hint="default" w:ascii="仿宋_GB2312" w:cs="Times New Roman"/>
          <w:lang w:val="en-US" w:eastAsia="zh-CN"/>
        </w:rPr>
        <w:t>人力资源和社会保障部和工业和信息化部联合颁发</w:t>
      </w:r>
      <w:r>
        <w:rPr>
          <w:rFonts w:hint="eastAsia" w:ascii="仿宋_GB2312" w:cs="Times New Roman"/>
          <w:lang w:val="en-US" w:eastAsia="zh-CN"/>
        </w:rPr>
        <w:t>的全国计算机技术与软件专业技术资格（水平）证书，企业认证证书</w:t>
      </w:r>
      <w:r>
        <w:rPr>
          <w:rFonts w:hint="default" w:ascii="仿宋_GB2312" w:cs="Times New Roman"/>
          <w:lang w:val="en-US" w:eastAsia="zh-CN"/>
        </w:rPr>
        <w:t>（如</w:t>
      </w:r>
      <w:r>
        <w:rPr>
          <w:rFonts w:hint="eastAsia" w:ascii="仿宋_GB2312" w:cs="Times New Roman"/>
          <w:lang w:val="en-US" w:eastAsia="zh-CN"/>
        </w:rPr>
        <w:t>华为</w:t>
      </w:r>
      <w:r>
        <w:rPr>
          <w:rFonts w:hint="default" w:ascii="仿宋_GB2312" w:cs="Times New Roman"/>
          <w:lang w:val="en-US" w:eastAsia="zh-CN"/>
        </w:rPr>
        <w:t>网络工程师</w:t>
      </w:r>
      <w:r>
        <w:rPr>
          <w:rFonts w:hint="eastAsia" w:ascii="仿宋_GB2312" w:cs="Times New Roman"/>
          <w:lang w:val="en-US" w:eastAsia="zh-CN"/>
        </w:rPr>
        <w:t>证书</w:t>
      </w:r>
      <w:r>
        <w:rPr>
          <w:rFonts w:hint="default" w:ascii="仿宋_GB2312" w:cs="Times New Roman"/>
          <w:lang w:val="en-US" w:eastAsia="zh-CN"/>
        </w:rPr>
        <w:t>）、工业和信息化领域人才能力评价证书（如大数据分析师</w:t>
      </w:r>
      <w:r>
        <w:rPr>
          <w:rFonts w:hint="eastAsia" w:ascii="仿宋_GB2312" w:cs="Times New Roman"/>
          <w:lang w:val="en-US" w:eastAsia="zh-CN"/>
        </w:rPr>
        <w:t>证书</w:t>
      </w:r>
      <w:r>
        <w:rPr>
          <w:rFonts w:hint="default" w:ascii="仿宋_GB2312" w:cs="Times New Roman"/>
          <w:lang w:val="en-US" w:eastAsia="zh-CN"/>
        </w:rPr>
        <w:t>），获取证书作为人才培养质量重要依据，纳入毕业综合评价。</w:t>
      </w:r>
    </w:p>
    <w:p w14:paraId="52344F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23" w:name="_Toc20429"/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22"/>
          <w:lang w:val="en-US" w:eastAsia="zh-CN" w:bidi="ar-SA"/>
        </w:rPr>
        <w:t>（六）</w:t>
      </w:r>
      <w:r>
        <w:rPr>
          <w:rFonts w:hint="eastAsia" w:ascii="楷体_GB2312" w:hAnsi="楷体_GB2312" w:eastAsia="楷体_GB2312" w:cs="楷体_GB2312"/>
          <w:b/>
          <w:bCs/>
          <w:lang w:eastAsia="zh-CN"/>
        </w:rPr>
        <w:t>质量管理</w:t>
      </w:r>
      <w:bookmarkEnd w:id="23"/>
    </w:p>
    <w:p w14:paraId="45724A96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cs="Times New Roman"/>
          <w:lang w:val="en-US" w:eastAsia="zh-CN"/>
        </w:rPr>
      </w:pPr>
      <w:r>
        <w:rPr>
          <w:rFonts w:hint="eastAsia" w:ascii="仿宋_GB2312" w:cs="Times New Roman"/>
          <w:lang w:val="en-US" w:eastAsia="zh-CN"/>
        </w:rPr>
        <w:t>（</w:t>
      </w:r>
      <w:r>
        <w:rPr>
          <w:rFonts w:hint="default" w:ascii="仿宋_GB2312" w:cs="Times New Roman"/>
          <w:lang w:val="en-US" w:eastAsia="zh-CN"/>
        </w:rPr>
        <w:t>1</w:t>
      </w:r>
      <w:r>
        <w:rPr>
          <w:rFonts w:hint="eastAsia" w:ascii="仿宋_GB2312" w:cs="Times New Roman"/>
          <w:lang w:val="en-US" w:eastAsia="zh-CN"/>
        </w:rPr>
        <w:t>）学校和二级学院应建立专业人才培养质量保障机制，健全专业教学质量监控管理制度，改进结果评价，强化过程评价，探索增值评价，吸纳行业组织、企业等参与评价，并及时公开相关信息，接受教育督导和社会监督，健全综合评价。完善人才培养方案、课程标准、课堂评价、实验教学、实习实训、毕业设计以及资源建设等质量保障建设，通过教学实施、过程监控、质量评价和持续改进，达到人才培养规格要求。</w:t>
      </w:r>
    </w:p>
    <w:p w14:paraId="5157167D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cs="Times New Roman"/>
          <w:lang w:val="en-US" w:eastAsia="zh-CN"/>
        </w:rPr>
      </w:pPr>
      <w:r>
        <w:rPr>
          <w:rFonts w:hint="eastAsia" w:ascii="仿宋_GB2312" w:cs="Times New Roman"/>
          <w:lang w:val="en-US" w:eastAsia="zh-CN"/>
        </w:rPr>
        <w:t>（</w:t>
      </w:r>
      <w:r>
        <w:rPr>
          <w:rFonts w:hint="default" w:ascii="仿宋_GB2312" w:cs="Times New Roman"/>
          <w:lang w:val="en-US" w:eastAsia="zh-CN"/>
        </w:rPr>
        <w:t>2</w:t>
      </w:r>
      <w:r>
        <w:rPr>
          <w:rFonts w:hint="eastAsia" w:ascii="仿宋_GB2312" w:cs="Times New Roman"/>
          <w:lang w:val="en-US" w:eastAsia="zh-CN"/>
        </w:rPr>
        <w:t>）学校和二级学院应完善教学管理机制，加强日常教学组织运行与管理，定期开展课程建设、日常教学、人才培养质量的诊断与改进，建立健全巡课、听课、评教、评学等制度，建立与企业联动的实践教学环节督导制度，严明教学纪律，强化教学组织功能，定期开展公开课、示范课等教研活动。</w:t>
      </w:r>
    </w:p>
    <w:p w14:paraId="5714F56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cs="Times New Roman"/>
          <w:lang w:val="en-US" w:eastAsia="zh-CN"/>
        </w:rPr>
      </w:pPr>
      <w:r>
        <w:rPr>
          <w:rFonts w:hint="eastAsia" w:ascii="仿宋_GB2312" w:cs="Times New Roman"/>
          <w:lang w:val="en-US" w:eastAsia="zh-CN"/>
        </w:rPr>
        <w:t>（</w:t>
      </w:r>
      <w:r>
        <w:rPr>
          <w:rFonts w:hint="default" w:ascii="仿宋_GB2312" w:cs="Times New Roman"/>
          <w:lang w:val="en-US" w:eastAsia="zh-CN"/>
        </w:rPr>
        <w:t>3</w:t>
      </w:r>
      <w:r>
        <w:rPr>
          <w:rFonts w:hint="eastAsia" w:ascii="仿宋_GB2312" w:cs="Times New Roman"/>
          <w:lang w:val="en-US" w:eastAsia="zh-CN"/>
        </w:rPr>
        <w:t>）专业教研组织应建立线上线下相结合的集中备课制度，定期召开教学研讨会议，利用评价分析结果有效改进专业教学，持续提高人才培养质量。</w:t>
      </w:r>
    </w:p>
    <w:p w14:paraId="0A214EE6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cs="Times New Roman"/>
          <w:lang w:val="en-US" w:eastAsia="zh-CN"/>
        </w:rPr>
      </w:pPr>
      <w:r>
        <w:rPr>
          <w:rFonts w:hint="eastAsia" w:ascii="仿宋_GB2312" w:cs="Times New Roman"/>
          <w:lang w:val="en-US" w:eastAsia="zh-CN"/>
        </w:rPr>
        <w:t>（</w:t>
      </w:r>
      <w:r>
        <w:rPr>
          <w:rFonts w:hint="default" w:ascii="仿宋_GB2312" w:cs="Times New Roman"/>
          <w:lang w:val="en-US" w:eastAsia="zh-CN"/>
        </w:rPr>
        <w:t>4</w:t>
      </w:r>
      <w:r>
        <w:rPr>
          <w:rFonts w:hint="eastAsia" w:ascii="仿宋_GB2312" w:cs="Times New Roman"/>
          <w:lang w:val="en-US" w:eastAsia="zh-CN"/>
        </w:rPr>
        <w:t>）学校应建立毕业生跟踪反馈机制及社会评价机制，并对生源情况、职业道德、技术技能水平、就业质量等进行分析，定期评价人才培养质量和培养目标达成情况。</w:t>
      </w:r>
    </w:p>
    <w:p w14:paraId="525D009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/>
          <w:lang w:eastAsia="zh-CN"/>
        </w:rPr>
      </w:pPr>
      <w:bookmarkStart w:id="24" w:name="_Toc15925"/>
      <w:r>
        <w:rPr>
          <w:rFonts w:hint="eastAsia" w:ascii="Times New Roman" w:hAnsi="Times New Roman" w:eastAsia="黑体" w:cs="Times New Roman"/>
          <w:szCs w:val="32"/>
          <w:lang w:eastAsia="zh-CN"/>
        </w:rPr>
        <w:t>九、毕业要求</w:t>
      </w:r>
      <w:bookmarkEnd w:id="24"/>
    </w:p>
    <w:p w14:paraId="0C3CAF04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25" w:name="_Toc21938"/>
      <w:r>
        <w:rPr>
          <w:rFonts w:hint="eastAsia" w:ascii="楷体_GB2312" w:hAnsi="楷体_GB2312" w:eastAsia="楷体_GB2312" w:cs="楷体_GB2312"/>
          <w:b/>
          <w:bCs/>
          <w:lang w:eastAsia="zh-CN"/>
        </w:rPr>
        <w:t>学时要求</w:t>
      </w:r>
      <w:bookmarkEnd w:id="25"/>
    </w:p>
    <w:p w14:paraId="72FDA15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eastAsia" w:ascii="仿宋_GB2312" w:cs="Times New Roman"/>
          <w:lang w:val="en-US" w:eastAsia="zh-CN"/>
        </w:rPr>
        <w:t>本专业总学时2608，其中必修课学时2408，选修课学时400，学时未修满不予毕业。</w:t>
      </w:r>
    </w:p>
    <w:p w14:paraId="04BC5803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26" w:name="_Toc26829"/>
      <w:r>
        <w:rPr>
          <w:rFonts w:hint="eastAsia" w:ascii="楷体_GB2312" w:hAnsi="楷体_GB2312" w:eastAsia="楷体_GB2312" w:cs="楷体_GB2312"/>
          <w:b/>
          <w:bCs/>
          <w:lang w:eastAsia="zh-CN"/>
        </w:rPr>
        <w:t>学分要求</w:t>
      </w:r>
      <w:bookmarkEnd w:id="26"/>
    </w:p>
    <w:p w14:paraId="49B297FA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eastAsia" w:ascii="仿宋_GB2312" w:cs="Times New Roman"/>
          <w:lang w:val="en-US" w:eastAsia="zh-CN"/>
        </w:rPr>
        <w:t>本专业总学分147分，其中必修课学分122分，选修课25分，学分未修满不予毕业。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28D9B3A-698F-4534-BF25-B647210B801F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2DC3784-99E2-4880-8FEC-87E29742E27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DA1B75FB-8918-4CBD-A76F-3883B88F9A9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102A5CD7-BD38-4CC4-88DA-C7426709766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BCBD8602-A53D-4BD1-AC72-563BAA667521}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Noto Sans CJK JP Regular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6" w:fontKey="{B294E08D-31C9-4D64-9B32-87AFE9797C08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7" w:fontKey="{240567C4-6BFF-4551-A4B3-0DE28DDD9974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82087B"/>
    <w:multiLevelType w:val="singleLevel"/>
    <w:tmpl w:val="8A82087B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C99D09BD"/>
    <w:multiLevelType w:val="singleLevel"/>
    <w:tmpl w:val="C99D09BD"/>
    <w:lvl w:ilvl="0" w:tentative="0">
      <w:start w:val="14"/>
      <w:numFmt w:val="decimal"/>
      <w:suff w:val="nothing"/>
      <w:lvlText w:val="（%1）"/>
      <w:lvlJc w:val="left"/>
    </w:lvl>
  </w:abstractNum>
  <w:abstractNum w:abstractNumId="2">
    <w:nsid w:val="D1016B20"/>
    <w:multiLevelType w:val="singleLevel"/>
    <w:tmpl w:val="D1016B20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29B757E3"/>
    <w:multiLevelType w:val="singleLevel"/>
    <w:tmpl w:val="29B757E3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31E0969E"/>
    <w:multiLevelType w:val="singleLevel"/>
    <w:tmpl w:val="31E0969E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35A6F704"/>
    <w:multiLevelType w:val="singleLevel"/>
    <w:tmpl w:val="35A6F70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172A27"/>
    <w:rsid w:val="00E50F2A"/>
    <w:rsid w:val="010158D6"/>
    <w:rsid w:val="012224F8"/>
    <w:rsid w:val="015A1987"/>
    <w:rsid w:val="015D50E0"/>
    <w:rsid w:val="01E0373D"/>
    <w:rsid w:val="02191B93"/>
    <w:rsid w:val="022A1D94"/>
    <w:rsid w:val="02310B96"/>
    <w:rsid w:val="023E04DB"/>
    <w:rsid w:val="03060F81"/>
    <w:rsid w:val="03372BF7"/>
    <w:rsid w:val="0374413D"/>
    <w:rsid w:val="038C71E9"/>
    <w:rsid w:val="047407AB"/>
    <w:rsid w:val="047E5D41"/>
    <w:rsid w:val="04B35139"/>
    <w:rsid w:val="052B7684"/>
    <w:rsid w:val="05660343"/>
    <w:rsid w:val="05C87F3A"/>
    <w:rsid w:val="05F7392B"/>
    <w:rsid w:val="06262826"/>
    <w:rsid w:val="062736E9"/>
    <w:rsid w:val="06D80B10"/>
    <w:rsid w:val="074260FD"/>
    <w:rsid w:val="077C22D7"/>
    <w:rsid w:val="080A2DD7"/>
    <w:rsid w:val="0813553A"/>
    <w:rsid w:val="085B1D6F"/>
    <w:rsid w:val="08A7404B"/>
    <w:rsid w:val="097C01EF"/>
    <w:rsid w:val="09870EF6"/>
    <w:rsid w:val="099B5E45"/>
    <w:rsid w:val="09AA1703"/>
    <w:rsid w:val="09B81FF8"/>
    <w:rsid w:val="09B83043"/>
    <w:rsid w:val="09EE5553"/>
    <w:rsid w:val="0A7B0438"/>
    <w:rsid w:val="0AFB5514"/>
    <w:rsid w:val="0B2A08A4"/>
    <w:rsid w:val="0BAD211A"/>
    <w:rsid w:val="0BD14403"/>
    <w:rsid w:val="0BFF3B0E"/>
    <w:rsid w:val="0C587883"/>
    <w:rsid w:val="0C851169"/>
    <w:rsid w:val="0C9A1D5D"/>
    <w:rsid w:val="0CC60757"/>
    <w:rsid w:val="0CD45F3C"/>
    <w:rsid w:val="0DC12675"/>
    <w:rsid w:val="0DE36E13"/>
    <w:rsid w:val="0DFE5677"/>
    <w:rsid w:val="0E1C39FC"/>
    <w:rsid w:val="0E5C5EAE"/>
    <w:rsid w:val="0E6B3C77"/>
    <w:rsid w:val="0E76520D"/>
    <w:rsid w:val="0EE3661B"/>
    <w:rsid w:val="0F3E3561"/>
    <w:rsid w:val="0F564903"/>
    <w:rsid w:val="0FF22FB9"/>
    <w:rsid w:val="10060813"/>
    <w:rsid w:val="102223FD"/>
    <w:rsid w:val="104B091B"/>
    <w:rsid w:val="10BA54BD"/>
    <w:rsid w:val="11064DC4"/>
    <w:rsid w:val="114208BC"/>
    <w:rsid w:val="11877731"/>
    <w:rsid w:val="11986323"/>
    <w:rsid w:val="11996010"/>
    <w:rsid w:val="11C6418C"/>
    <w:rsid w:val="11E46932"/>
    <w:rsid w:val="120B0362"/>
    <w:rsid w:val="120D40DA"/>
    <w:rsid w:val="1242331C"/>
    <w:rsid w:val="12547EAC"/>
    <w:rsid w:val="12C10A21"/>
    <w:rsid w:val="12F54B98"/>
    <w:rsid w:val="13456A27"/>
    <w:rsid w:val="13C976AE"/>
    <w:rsid w:val="13CB7DA9"/>
    <w:rsid w:val="13D9789A"/>
    <w:rsid w:val="13F05A62"/>
    <w:rsid w:val="14050E42"/>
    <w:rsid w:val="140744D8"/>
    <w:rsid w:val="14107EB2"/>
    <w:rsid w:val="143106DC"/>
    <w:rsid w:val="14AA3E63"/>
    <w:rsid w:val="14C5670D"/>
    <w:rsid w:val="14E300DA"/>
    <w:rsid w:val="15126B7C"/>
    <w:rsid w:val="15456E54"/>
    <w:rsid w:val="154C5373"/>
    <w:rsid w:val="15540916"/>
    <w:rsid w:val="15BD7BC5"/>
    <w:rsid w:val="16CA7F95"/>
    <w:rsid w:val="16F669F1"/>
    <w:rsid w:val="16F930F5"/>
    <w:rsid w:val="172A1DE8"/>
    <w:rsid w:val="173F7DA8"/>
    <w:rsid w:val="179B3DA5"/>
    <w:rsid w:val="188D1AD1"/>
    <w:rsid w:val="18DD70F5"/>
    <w:rsid w:val="19061883"/>
    <w:rsid w:val="19600F94"/>
    <w:rsid w:val="1966231E"/>
    <w:rsid w:val="19904ED2"/>
    <w:rsid w:val="19F316BA"/>
    <w:rsid w:val="1A267164"/>
    <w:rsid w:val="1A2C31DC"/>
    <w:rsid w:val="1A321046"/>
    <w:rsid w:val="1A3614E8"/>
    <w:rsid w:val="1A671B25"/>
    <w:rsid w:val="1A6E76E0"/>
    <w:rsid w:val="1A8962C8"/>
    <w:rsid w:val="1A9B173B"/>
    <w:rsid w:val="1B434533"/>
    <w:rsid w:val="1B8F49C6"/>
    <w:rsid w:val="1C01741A"/>
    <w:rsid w:val="1C273FEB"/>
    <w:rsid w:val="1C417A87"/>
    <w:rsid w:val="1C5E1419"/>
    <w:rsid w:val="1C7A2A16"/>
    <w:rsid w:val="1D04227C"/>
    <w:rsid w:val="1D212ADB"/>
    <w:rsid w:val="1D243E69"/>
    <w:rsid w:val="1D5346C1"/>
    <w:rsid w:val="1D5D471C"/>
    <w:rsid w:val="1DAE09D1"/>
    <w:rsid w:val="1DE17CD6"/>
    <w:rsid w:val="1DF65FD3"/>
    <w:rsid w:val="1E0326B9"/>
    <w:rsid w:val="1E195EB4"/>
    <w:rsid w:val="1E1C53C5"/>
    <w:rsid w:val="1E5E181A"/>
    <w:rsid w:val="1E9C3757"/>
    <w:rsid w:val="1EFD252E"/>
    <w:rsid w:val="1F340F2B"/>
    <w:rsid w:val="1F882656"/>
    <w:rsid w:val="20772F0E"/>
    <w:rsid w:val="210D26FB"/>
    <w:rsid w:val="21464F13"/>
    <w:rsid w:val="21953DB5"/>
    <w:rsid w:val="21AE4866"/>
    <w:rsid w:val="21CB27F1"/>
    <w:rsid w:val="21D918C4"/>
    <w:rsid w:val="22C829A6"/>
    <w:rsid w:val="2333514E"/>
    <w:rsid w:val="23492A98"/>
    <w:rsid w:val="23A77F90"/>
    <w:rsid w:val="23D82BE9"/>
    <w:rsid w:val="23F86AF7"/>
    <w:rsid w:val="24101813"/>
    <w:rsid w:val="246C1E07"/>
    <w:rsid w:val="24823F7D"/>
    <w:rsid w:val="24CE6272"/>
    <w:rsid w:val="24E26007"/>
    <w:rsid w:val="25072C0B"/>
    <w:rsid w:val="257F27A2"/>
    <w:rsid w:val="259154A6"/>
    <w:rsid w:val="25D6438C"/>
    <w:rsid w:val="25E35426"/>
    <w:rsid w:val="26045C60"/>
    <w:rsid w:val="263F63D5"/>
    <w:rsid w:val="268C0615"/>
    <w:rsid w:val="26F0351F"/>
    <w:rsid w:val="27326D5B"/>
    <w:rsid w:val="27363334"/>
    <w:rsid w:val="27764078"/>
    <w:rsid w:val="27A42993"/>
    <w:rsid w:val="27BC50F8"/>
    <w:rsid w:val="282C6B05"/>
    <w:rsid w:val="287140DC"/>
    <w:rsid w:val="28F96F35"/>
    <w:rsid w:val="29011282"/>
    <w:rsid w:val="29037B7A"/>
    <w:rsid w:val="29161C3B"/>
    <w:rsid w:val="29A2565C"/>
    <w:rsid w:val="2A2D57AD"/>
    <w:rsid w:val="2A8F130C"/>
    <w:rsid w:val="2AD046F8"/>
    <w:rsid w:val="2AE566D6"/>
    <w:rsid w:val="2B316E3C"/>
    <w:rsid w:val="2B356FF3"/>
    <w:rsid w:val="2B6E42C9"/>
    <w:rsid w:val="2B743120"/>
    <w:rsid w:val="2B775C5C"/>
    <w:rsid w:val="2B797FCD"/>
    <w:rsid w:val="2B7F799F"/>
    <w:rsid w:val="2B9E76FA"/>
    <w:rsid w:val="2C0C5DB9"/>
    <w:rsid w:val="2C611446"/>
    <w:rsid w:val="2C7E7C57"/>
    <w:rsid w:val="2CB46EBD"/>
    <w:rsid w:val="2CD260FA"/>
    <w:rsid w:val="2E020414"/>
    <w:rsid w:val="2E310CF9"/>
    <w:rsid w:val="2E314855"/>
    <w:rsid w:val="2ECD6C74"/>
    <w:rsid w:val="2EEA0214"/>
    <w:rsid w:val="2F37641D"/>
    <w:rsid w:val="2F42642C"/>
    <w:rsid w:val="2F496394"/>
    <w:rsid w:val="2F727962"/>
    <w:rsid w:val="2FFD4B09"/>
    <w:rsid w:val="30297EDA"/>
    <w:rsid w:val="304E5B92"/>
    <w:rsid w:val="30670569"/>
    <w:rsid w:val="30843362"/>
    <w:rsid w:val="30BA6708"/>
    <w:rsid w:val="318D1AC9"/>
    <w:rsid w:val="32190033"/>
    <w:rsid w:val="3290084A"/>
    <w:rsid w:val="331022D3"/>
    <w:rsid w:val="33477A78"/>
    <w:rsid w:val="33BE302F"/>
    <w:rsid w:val="34294FC2"/>
    <w:rsid w:val="3476207C"/>
    <w:rsid w:val="34E47C6D"/>
    <w:rsid w:val="354D6418"/>
    <w:rsid w:val="356D5A32"/>
    <w:rsid w:val="36161B62"/>
    <w:rsid w:val="36447609"/>
    <w:rsid w:val="365319B0"/>
    <w:rsid w:val="36F54FB9"/>
    <w:rsid w:val="3747333B"/>
    <w:rsid w:val="37B7570B"/>
    <w:rsid w:val="380D39E2"/>
    <w:rsid w:val="382175A5"/>
    <w:rsid w:val="38685317"/>
    <w:rsid w:val="38B03601"/>
    <w:rsid w:val="38B62143"/>
    <w:rsid w:val="38D43E1A"/>
    <w:rsid w:val="38F52C52"/>
    <w:rsid w:val="38FB4E95"/>
    <w:rsid w:val="392A6A70"/>
    <w:rsid w:val="3986798D"/>
    <w:rsid w:val="39B5458C"/>
    <w:rsid w:val="39B933D1"/>
    <w:rsid w:val="39D37AEE"/>
    <w:rsid w:val="3A0472C2"/>
    <w:rsid w:val="3A3C7179"/>
    <w:rsid w:val="3A4148C7"/>
    <w:rsid w:val="3A685AA2"/>
    <w:rsid w:val="3ABE4BCF"/>
    <w:rsid w:val="3AD214A0"/>
    <w:rsid w:val="3B44206B"/>
    <w:rsid w:val="3B7D557D"/>
    <w:rsid w:val="3BF07AFD"/>
    <w:rsid w:val="3D0B1BDC"/>
    <w:rsid w:val="3D214AF7"/>
    <w:rsid w:val="3D235681"/>
    <w:rsid w:val="3D4F4ED5"/>
    <w:rsid w:val="3D627986"/>
    <w:rsid w:val="3DAF4108"/>
    <w:rsid w:val="3DCD33AE"/>
    <w:rsid w:val="3E4D56DB"/>
    <w:rsid w:val="3E6A2955"/>
    <w:rsid w:val="3EEF0540"/>
    <w:rsid w:val="3F1C6B45"/>
    <w:rsid w:val="3F1F2D1F"/>
    <w:rsid w:val="3F2F6BCA"/>
    <w:rsid w:val="3F7F69AF"/>
    <w:rsid w:val="3FE2019B"/>
    <w:rsid w:val="402E2195"/>
    <w:rsid w:val="405E2404"/>
    <w:rsid w:val="40C94C89"/>
    <w:rsid w:val="40CD2B03"/>
    <w:rsid w:val="40D65444"/>
    <w:rsid w:val="411E0E78"/>
    <w:rsid w:val="415015B9"/>
    <w:rsid w:val="41AD1B11"/>
    <w:rsid w:val="41B30E75"/>
    <w:rsid w:val="41BA303A"/>
    <w:rsid w:val="41F267B7"/>
    <w:rsid w:val="42245F5D"/>
    <w:rsid w:val="42257CFA"/>
    <w:rsid w:val="424E1A22"/>
    <w:rsid w:val="42AF1602"/>
    <w:rsid w:val="42C83B8D"/>
    <w:rsid w:val="42DC527F"/>
    <w:rsid w:val="42EE2D93"/>
    <w:rsid w:val="430572D9"/>
    <w:rsid w:val="43655275"/>
    <w:rsid w:val="43881B76"/>
    <w:rsid w:val="43A56989"/>
    <w:rsid w:val="440B3168"/>
    <w:rsid w:val="442C2570"/>
    <w:rsid w:val="445F1CC4"/>
    <w:rsid w:val="4517110E"/>
    <w:rsid w:val="45244E7C"/>
    <w:rsid w:val="4597723C"/>
    <w:rsid w:val="45BC6CA2"/>
    <w:rsid w:val="45C3066E"/>
    <w:rsid w:val="46176CD3"/>
    <w:rsid w:val="462211FB"/>
    <w:rsid w:val="46503EE4"/>
    <w:rsid w:val="465A19C0"/>
    <w:rsid w:val="468B7407"/>
    <w:rsid w:val="46E82862"/>
    <w:rsid w:val="46FE3360"/>
    <w:rsid w:val="47433201"/>
    <w:rsid w:val="47C77271"/>
    <w:rsid w:val="47D36563"/>
    <w:rsid w:val="493535ED"/>
    <w:rsid w:val="493D6C54"/>
    <w:rsid w:val="49402257"/>
    <w:rsid w:val="49477B3A"/>
    <w:rsid w:val="49807E6F"/>
    <w:rsid w:val="49C92560"/>
    <w:rsid w:val="4A134414"/>
    <w:rsid w:val="4A286FFC"/>
    <w:rsid w:val="4A6F2535"/>
    <w:rsid w:val="4B0E2CDE"/>
    <w:rsid w:val="4B4614E8"/>
    <w:rsid w:val="4BEE4070"/>
    <w:rsid w:val="4BF947AC"/>
    <w:rsid w:val="4C004000"/>
    <w:rsid w:val="4C084E57"/>
    <w:rsid w:val="4C8D1398"/>
    <w:rsid w:val="4CA33F67"/>
    <w:rsid w:val="4CD14CD2"/>
    <w:rsid w:val="4D1A4ED3"/>
    <w:rsid w:val="4D302450"/>
    <w:rsid w:val="4D407471"/>
    <w:rsid w:val="4E556430"/>
    <w:rsid w:val="4E620FCD"/>
    <w:rsid w:val="4E854A1D"/>
    <w:rsid w:val="4EA60109"/>
    <w:rsid w:val="4EEA4880"/>
    <w:rsid w:val="4F585C8E"/>
    <w:rsid w:val="4F701229"/>
    <w:rsid w:val="4FE94B38"/>
    <w:rsid w:val="509213D2"/>
    <w:rsid w:val="50A01365"/>
    <w:rsid w:val="50DA4AED"/>
    <w:rsid w:val="50E33C7D"/>
    <w:rsid w:val="515801C7"/>
    <w:rsid w:val="51BB2504"/>
    <w:rsid w:val="522307D5"/>
    <w:rsid w:val="524C6DBA"/>
    <w:rsid w:val="526A08D2"/>
    <w:rsid w:val="52842834"/>
    <w:rsid w:val="5292579D"/>
    <w:rsid w:val="53133DEE"/>
    <w:rsid w:val="531B0A73"/>
    <w:rsid w:val="53326DD8"/>
    <w:rsid w:val="536B2FE6"/>
    <w:rsid w:val="53C564B7"/>
    <w:rsid w:val="540B5C9B"/>
    <w:rsid w:val="54814026"/>
    <w:rsid w:val="54AB2899"/>
    <w:rsid w:val="54AE4D3C"/>
    <w:rsid w:val="54BC281B"/>
    <w:rsid w:val="55235853"/>
    <w:rsid w:val="553B4087"/>
    <w:rsid w:val="554D1A31"/>
    <w:rsid w:val="557A3EC0"/>
    <w:rsid w:val="55BF0E8C"/>
    <w:rsid w:val="55C86E13"/>
    <w:rsid w:val="55CE1AA9"/>
    <w:rsid w:val="5677593A"/>
    <w:rsid w:val="56DB3766"/>
    <w:rsid w:val="56E46059"/>
    <w:rsid w:val="56E7178E"/>
    <w:rsid w:val="56EB5639"/>
    <w:rsid w:val="56ED7603"/>
    <w:rsid w:val="56FA762A"/>
    <w:rsid w:val="574C7574"/>
    <w:rsid w:val="575F3087"/>
    <w:rsid w:val="57B02EBF"/>
    <w:rsid w:val="58F02C43"/>
    <w:rsid w:val="591F15CA"/>
    <w:rsid w:val="5958290B"/>
    <w:rsid w:val="595C637A"/>
    <w:rsid w:val="596F2D8B"/>
    <w:rsid w:val="59814F23"/>
    <w:rsid w:val="5A1645DA"/>
    <w:rsid w:val="5A845C27"/>
    <w:rsid w:val="5C115B42"/>
    <w:rsid w:val="5C91458D"/>
    <w:rsid w:val="5CCD7D24"/>
    <w:rsid w:val="5CD83C6F"/>
    <w:rsid w:val="5CFC3DED"/>
    <w:rsid w:val="5DB46785"/>
    <w:rsid w:val="5E5977EA"/>
    <w:rsid w:val="5E931360"/>
    <w:rsid w:val="5F17346F"/>
    <w:rsid w:val="5F1C6A9B"/>
    <w:rsid w:val="5FC02251"/>
    <w:rsid w:val="6017749F"/>
    <w:rsid w:val="601E6BB2"/>
    <w:rsid w:val="605A7FEA"/>
    <w:rsid w:val="6060013F"/>
    <w:rsid w:val="60E24467"/>
    <w:rsid w:val="610B0DB2"/>
    <w:rsid w:val="613F0A5C"/>
    <w:rsid w:val="614F5DDA"/>
    <w:rsid w:val="61742A83"/>
    <w:rsid w:val="619B6794"/>
    <w:rsid w:val="61EC6F36"/>
    <w:rsid w:val="62650BE5"/>
    <w:rsid w:val="62893D35"/>
    <w:rsid w:val="62F12F83"/>
    <w:rsid w:val="62FA0E4E"/>
    <w:rsid w:val="633640E0"/>
    <w:rsid w:val="634611D8"/>
    <w:rsid w:val="63627A9D"/>
    <w:rsid w:val="63F57AF7"/>
    <w:rsid w:val="641238A9"/>
    <w:rsid w:val="64EF2799"/>
    <w:rsid w:val="652854D9"/>
    <w:rsid w:val="65E16585"/>
    <w:rsid w:val="65E41BD1"/>
    <w:rsid w:val="660304E3"/>
    <w:rsid w:val="662E01FD"/>
    <w:rsid w:val="665F456E"/>
    <w:rsid w:val="66B3487B"/>
    <w:rsid w:val="66F0778C"/>
    <w:rsid w:val="674C5428"/>
    <w:rsid w:val="67BF3619"/>
    <w:rsid w:val="67E0736C"/>
    <w:rsid w:val="67F00D02"/>
    <w:rsid w:val="68032ACF"/>
    <w:rsid w:val="681459FB"/>
    <w:rsid w:val="68170047"/>
    <w:rsid w:val="68620403"/>
    <w:rsid w:val="68BF2482"/>
    <w:rsid w:val="695928D6"/>
    <w:rsid w:val="6A1B7F5A"/>
    <w:rsid w:val="6A38073E"/>
    <w:rsid w:val="6A5405E4"/>
    <w:rsid w:val="6A67712E"/>
    <w:rsid w:val="6A76756A"/>
    <w:rsid w:val="6AD04092"/>
    <w:rsid w:val="6AEE69E5"/>
    <w:rsid w:val="6B1D005F"/>
    <w:rsid w:val="6B693E65"/>
    <w:rsid w:val="6B985938"/>
    <w:rsid w:val="6BC502A5"/>
    <w:rsid w:val="6C215B15"/>
    <w:rsid w:val="6C4038DA"/>
    <w:rsid w:val="6C5B089D"/>
    <w:rsid w:val="6CDC718B"/>
    <w:rsid w:val="6D0B038C"/>
    <w:rsid w:val="6D9A53C8"/>
    <w:rsid w:val="6DA1597C"/>
    <w:rsid w:val="6DCB1036"/>
    <w:rsid w:val="6DDE14A7"/>
    <w:rsid w:val="6E0C43BB"/>
    <w:rsid w:val="6E275496"/>
    <w:rsid w:val="6E2B0BE2"/>
    <w:rsid w:val="6E34753E"/>
    <w:rsid w:val="6E602011"/>
    <w:rsid w:val="6EAB5982"/>
    <w:rsid w:val="6EAB7C30"/>
    <w:rsid w:val="6F1E7F02"/>
    <w:rsid w:val="6F3F0FFE"/>
    <w:rsid w:val="6F4E0D65"/>
    <w:rsid w:val="6F5E23A8"/>
    <w:rsid w:val="6F6B7429"/>
    <w:rsid w:val="70091DE5"/>
    <w:rsid w:val="7019691C"/>
    <w:rsid w:val="706F478E"/>
    <w:rsid w:val="70DD3DED"/>
    <w:rsid w:val="71134414"/>
    <w:rsid w:val="71662FA8"/>
    <w:rsid w:val="71A768D5"/>
    <w:rsid w:val="71F81A9F"/>
    <w:rsid w:val="72E8690B"/>
    <w:rsid w:val="7315161C"/>
    <w:rsid w:val="73697146"/>
    <w:rsid w:val="73BC418E"/>
    <w:rsid w:val="73CB043E"/>
    <w:rsid w:val="73E839E9"/>
    <w:rsid w:val="7496678D"/>
    <w:rsid w:val="749A6784"/>
    <w:rsid w:val="74E41BEE"/>
    <w:rsid w:val="75524AB9"/>
    <w:rsid w:val="7591106A"/>
    <w:rsid w:val="75D46415"/>
    <w:rsid w:val="76147C2D"/>
    <w:rsid w:val="76377AFB"/>
    <w:rsid w:val="76477B2E"/>
    <w:rsid w:val="76B8141B"/>
    <w:rsid w:val="76EA3E04"/>
    <w:rsid w:val="77BC0E3C"/>
    <w:rsid w:val="782347DB"/>
    <w:rsid w:val="78517B6B"/>
    <w:rsid w:val="789456D9"/>
    <w:rsid w:val="78B31BEE"/>
    <w:rsid w:val="79295E21"/>
    <w:rsid w:val="793D3A1E"/>
    <w:rsid w:val="79401621"/>
    <w:rsid w:val="79C8388C"/>
    <w:rsid w:val="79F56919"/>
    <w:rsid w:val="7A6E451B"/>
    <w:rsid w:val="7AC611EE"/>
    <w:rsid w:val="7AE45141"/>
    <w:rsid w:val="7AF679AD"/>
    <w:rsid w:val="7BC520EE"/>
    <w:rsid w:val="7BF41733"/>
    <w:rsid w:val="7C103E9B"/>
    <w:rsid w:val="7C835849"/>
    <w:rsid w:val="7CA5565E"/>
    <w:rsid w:val="7D0F7947"/>
    <w:rsid w:val="7D20753B"/>
    <w:rsid w:val="7D670E28"/>
    <w:rsid w:val="7D8B70AB"/>
    <w:rsid w:val="7DAA194E"/>
    <w:rsid w:val="7E026C41"/>
    <w:rsid w:val="7E0714B7"/>
    <w:rsid w:val="7E190142"/>
    <w:rsid w:val="7E3603C4"/>
    <w:rsid w:val="7E4F632A"/>
    <w:rsid w:val="7F302548"/>
    <w:rsid w:val="7F3B065C"/>
    <w:rsid w:val="7F4E69BE"/>
    <w:rsid w:val="7F5C2F21"/>
    <w:rsid w:val="7FA370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9"/>
    <w:pPr>
      <w:keepNext/>
      <w:keepLines/>
      <w:adjustRightInd w:val="0"/>
      <w:snapToGrid w:val="0"/>
      <w:spacing w:line="360" w:lineRule="auto"/>
      <w:ind w:firstLine="200" w:firstLineChars="200"/>
      <w:outlineLvl w:val="1"/>
    </w:pPr>
    <w:rPr>
      <w:rFonts w:eastAsia="楷体" w:asciiTheme="majorHAnsi" w:hAnsiTheme="majorHAnsi" w:cstheme="majorBidi"/>
      <w:b/>
      <w:bCs/>
      <w:sz w:val="28"/>
      <w:szCs w:val="32"/>
    </w:rPr>
  </w:style>
  <w:style w:type="paragraph" w:styleId="3">
    <w:name w:val="heading 3"/>
    <w:basedOn w:val="1"/>
    <w:next w:val="1"/>
    <w:autoRedefine/>
    <w:unhideWhenUsed/>
    <w:qFormat/>
    <w:uiPriority w:val="9"/>
    <w:pPr>
      <w:keepNext/>
      <w:keepLines/>
      <w:adjustRightInd w:val="0"/>
      <w:snapToGrid w:val="0"/>
      <w:spacing w:line="360" w:lineRule="auto"/>
      <w:ind w:firstLine="200" w:firstLineChars="200"/>
      <w:outlineLvl w:val="2"/>
    </w:pPr>
    <w:rPr>
      <w:rFonts w:eastAsia="仿宋"/>
      <w:b/>
      <w:bCs/>
      <w:sz w:val="28"/>
      <w:szCs w:val="32"/>
    </w:rPr>
  </w:style>
  <w:style w:type="character" w:default="1" w:styleId="16">
    <w:name w:val="Default Paragraph Font"/>
    <w:autoRedefine/>
    <w:semiHidden/>
    <w:qFormat/>
    <w:uiPriority w:val="0"/>
  </w:style>
  <w:style w:type="table" w:default="1" w:styleId="14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 w:firstLineChars="200"/>
    </w:pPr>
    <w:rPr>
      <w:kern w:val="0"/>
      <w:sz w:val="20"/>
    </w:rPr>
  </w:style>
  <w:style w:type="paragraph" w:styleId="5">
    <w:name w:val="toa heading"/>
    <w:basedOn w:val="1"/>
    <w:next w:val="1"/>
    <w:autoRedefine/>
    <w:unhideWhenUsed/>
    <w:qFormat/>
    <w:uiPriority w:val="99"/>
    <w:pPr>
      <w:spacing w:before="120"/>
    </w:pPr>
    <w:rPr>
      <w:rFonts w:ascii="Arial" w:hAnsi="Arial"/>
      <w:sz w:val="24"/>
    </w:rPr>
  </w:style>
  <w:style w:type="paragraph" w:styleId="6">
    <w:name w:val="annotation text"/>
    <w:basedOn w:val="1"/>
    <w:qFormat/>
    <w:uiPriority w:val="0"/>
    <w:pPr>
      <w:jc w:val="left"/>
    </w:pPr>
    <w:rPr>
      <w:rFonts w:ascii="Calibri" w:hAnsi="Calibri" w:eastAsia="宋体" w:cs="Times New Roman"/>
      <w:sz w:val="28"/>
    </w:rPr>
  </w:style>
  <w:style w:type="paragraph" w:styleId="7">
    <w:name w:val="Body Text Indent"/>
    <w:basedOn w:val="1"/>
    <w:autoRedefine/>
    <w:qFormat/>
    <w:uiPriority w:val="0"/>
    <w:pPr>
      <w:spacing w:line="560" w:lineRule="exact"/>
      <w:ind w:firstLine="640" w:firstLineChars="200"/>
    </w:pPr>
  </w:style>
  <w:style w:type="paragraph" w:styleId="8">
    <w:name w:val="toc 3"/>
    <w:basedOn w:val="1"/>
    <w:next w:val="1"/>
    <w:qFormat/>
    <w:uiPriority w:val="0"/>
    <w:pPr>
      <w:ind w:left="840" w:leftChars="400"/>
    </w:p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5">
    <w:name w:val="Table Grid"/>
    <w:basedOn w:val="1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Hyperlink"/>
    <w:basedOn w:val="16"/>
    <w:qFormat/>
    <w:uiPriority w:val="0"/>
    <w:rPr>
      <w:color w:val="0000FF"/>
      <w:u w:val="single"/>
    </w:rPr>
  </w:style>
  <w:style w:type="paragraph" w:customStyle="1" w:styleId="19">
    <w:name w:val="样式1"/>
    <w:basedOn w:val="9"/>
    <w:autoRedefine/>
    <w:qFormat/>
    <w:uiPriority w:val="0"/>
    <w:rPr>
      <w:rFonts w:ascii="Noto Sans CJK JP Regular" w:hAnsi="Noto Sans CJK JP Regular" w:eastAsia="宋体" w:cs="Noto Sans CJK JP Regular"/>
      <w:szCs w:val="22"/>
      <w:lang w:eastAsia="en-US"/>
    </w:rPr>
  </w:style>
  <w:style w:type="paragraph" w:customStyle="1" w:styleId="20">
    <w:name w:val="常规正文格式"/>
    <w:basedOn w:val="1"/>
    <w:autoRedefine/>
    <w:qFormat/>
    <w:uiPriority w:val="0"/>
    <w:pPr>
      <w:widowControl/>
      <w:ind w:firstLine="640" w:firstLineChars="200"/>
    </w:pPr>
    <w:rPr>
      <w:rFonts w:ascii="Times New Roman" w:hAnsi="Times New Roman" w:eastAsia="仿宋_GB2312"/>
      <w:bCs/>
      <w:color w:val="000000"/>
      <w:kern w:val="0"/>
      <w:sz w:val="32"/>
      <w:szCs w:val="32"/>
    </w:rPr>
  </w:style>
  <w:style w:type="paragraph" w:customStyle="1" w:styleId="21">
    <w:name w:val="学生论文正文格式"/>
    <w:basedOn w:val="1"/>
    <w:autoRedefine/>
    <w:qFormat/>
    <w:uiPriority w:val="0"/>
    <w:pPr>
      <w:ind w:firstLine="480" w:firstLineChars="200"/>
    </w:pPr>
    <w:rPr>
      <w:rFonts w:hint="eastAsia" w:ascii="Times New Roman" w:hAnsi="Times New Roman" w:eastAsia="宋体" w:cs="Times New Roman"/>
      <w:sz w:val="24"/>
    </w:rPr>
  </w:style>
  <w:style w:type="paragraph" w:customStyle="1" w:styleId="22">
    <w:name w:val="二级标题"/>
    <w:basedOn w:val="3"/>
    <w:qFormat/>
    <w:uiPriority w:val="0"/>
    <w:pPr>
      <w:snapToGrid w:val="0"/>
      <w:spacing w:line="360" w:lineRule="auto"/>
      <w:contextualSpacing/>
      <w:jc w:val="left"/>
    </w:pPr>
    <w:rPr>
      <w:rFonts w:ascii="宋体" w:hAnsi="宋体"/>
    </w:rPr>
  </w:style>
  <w:style w:type="paragraph" w:customStyle="1" w:styleId="23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eastAsia="en-US"/>
    </w:rPr>
  </w:style>
  <w:style w:type="character" w:customStyle="1" w:styleId="24">
    <w:name w:val="font31"/>
    <w:basedOn w:val="16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31</Pages>
  <Words>9146</Words>
  <Characters>9572</Characters>
  <Lines>1</Lines>
  <Paragraphs>1</Paragraphs>
  <TotalTime>9</TotalTime>
  <ScaleCrop>false</ScaleCrop>
  <LinksUpToDate>false</LinksUpToDate>
  <CharactersWithSpaces>9579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◉‿◉</dc:creator>
  <cp:lastModifiedBy>合肥滨湖李</cp:lastModifiedBy>
  <dcterms:modified xsi:type="dcterms:W3CDTF">2025-12-01T12:03:11Z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342AEFBEA80145DA850E303E1A6AFAD8_13</vt:lpwstr>
  </property>
  <property fmtid="{D5CDD505-2E9C-101B-9397-08002B2CF9AE}" pid="4" name="KSOTemplateDocerSaveRecord">
    <vt:lpwstr>eyJoZGlkIjoiOWVjMzk0NDQzOGQ3NzRkZTU4NmU2ZjFiYmFmZmVkYzEiLCJ1c2VySWQiOiIzMjg3Njk0NDQifQ==</vt:lpwstr>
  </property>
</Properties>
</file>