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A23B6">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442845"/>
            <wp:effectExtent l="0" t="0" r="0" b="10795"/>
            <wp:wrapNone/>
            <wp:docPr id="3" name="图片 3"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50612084751"/>
                    <pic:cNvPicPr>
                      <a:picLocks noChangeAspect="1"/>
                    </pic:cNvPicPr>
                  </pic:nvPicPr>
                  <pic:blipFill>
                    <a:blip r:embed="rId4"/>
                    <a:stretch>
                      <a:fillRect/>
                    </a:stretch>
                  </pic:blipFill>
                  <pic:spPr>
                    <a:xfrm>
                      <a:off x="0" y="0"/>
                      <a:ext cx="5516880" cy="2442845"/>
                    </a:xfrm>
                    <a:prstGeom prst="rect">
                      <a:avLst/>
                    </a:prstGeom>
                  </pic:spPr>
                </pic:pic>
              </a:graphicData>
            </a:graphic>
          </wp:anchor>
        </w:drawing>
      </w:r>
    </w:p>
    <w:p w14:paraId="0918F1DC">
      <w:pPr>
        <w:widowControl/>
        <w:spacing w:before="1404" w:beforeLines="450" w:after="312" w:afterLines="100"/>
        <w:jc w:val="center"/>
        <w:rPr>
          <w:rFonts w:hint="eastAsia" w:ascii="黑体" w:hAnsi="黑体" w:eastAsia="黑体" w:cs="宋体"/>
          <w:b/>
          <w:bCs/>
          <w:sz w:val="52"/>
          <w:szCs w:val="36"/>
        </w:rPr>
      </w:pPr>
      <w:bookmarkStart w:id="2" w:name="_GoBack"/>
      <w:bookmarkEnd w:id="2"/>
      <w:r>
        <w:rPr>
          <w:rFonts w:hint="eastAsia" w:ascii="黑体" w:hAnsi="黑体" w:eastAsia="黑体" w:cs="宋体"/>
          <w:b/>
          <w:bCs/>
          <w:sz w:val="52"/>
          <w:szCs w:val="36"/>
        </w:rPr>
        <w:t>工程造价专业</w:t>
      </w:r>
    </w:p>
    <w:p w14:paraId="1D033840">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p w14:paraId="1F91B2FD">
      <w:pPr>
        <w:widowControl/>
        <w:spacing w:before="156" w:beforeLines="50" w:after="156" w:afterLines="50"/>
        <w:jc w:val="center"/>
        <w:rPr>
          <w:rFonts w:hint="eastAsia" w:ascii="宋体" w:hAnsi="宋体" w:cs="宋体"/>
          <w:b/>
          <w:bCs/>
          <w:sz w:val="36"/>
          <w:szCs w:val="36"/>
        </w:rPr>
      </w:pPr>
    </w:p>
    <w:p w14:paraId="338C4F2E">
      <w:pPr>
        <w:widowControl/>
        <w:spacing w:before="156" w:beforeLines="50" w:after="156" w:afterLines="50"/>
        <w:jc w:val="center"/>
        <w:rPr>
          <w:rFonts w:hint="eastAsia" w:ascii="宋体" w:hAnsi="宋体" w:cs="宋体"/>
          <w:b/>
          <w:bCs/>
          <w:sz w:val="24"/>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4149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8C66530">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5E24B53B">
            <w:pPr>
              <w:widowControl/>
              <w:jc w:val="center"/>
              <w:rPr>
                <w:rFonts w:hint="eastAsia" w:ascii="宋体" w:hAnsi="宋体" w:cs="宋体"/>
                <w:b/>
                <w:bCs/>
                <w:sz w:val="24"/>
                <w:szCs w:val="24"/>
              </w:rPr>
            </w:pPr>
            <w:r>
              <w:rPr>
                <w:rFonts w:hint="eastAsia" w:ascii="宋体" w:hAnsi="宋体" w:cs="宋体"/>
                <w:b/>
                <w:bCs/>
                <w:sz w:val="24"/>
                <w:szCs w:val="24"/>
              </w:rPr>
              <w:t>建筑工程与设计学院</w:t>
            </w:r>
          </w:p>
        </w:tc>
      </w:tr>
      <w:tr w14:paraId="2963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3DCAE9E6">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2C7BEDEE">
            <w:pPr>
              <w:widowControl/>
              <w:jc w:val="center"/>
              <w:rPr>
                <w:rFonts w:hint="eastAsia" w:ascii="宋体" w:hAnsi="宋体" w:cs="宋体"/>
                <w:b/>
                <w:bCs/>
                <w:sz w:val="24"/>
                <w:szCs w:val="24"/>
              </w:rPr>
            </w:pPr>
            <w:r>
              <w:rPr>
                <w:rFonts w:hint="eastAsia" w:ascii="宋体" w:hAnsi="宋体" w:cs="宋体"/>
                <w:b/>
                <w:bCs/>
                <w:sz w:val="24"/>
                <w:szCs w:val="24"/>
              </w:rPr>
              <w:t>单红</w:t>
            </w:r>
          </w:p>
        </w:tc>
      </w:tr>
      <w:tr w14:paraId="5BCC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957D587">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69A78CA8">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7EB9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D93B415">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667056A7">
            <w:pPr>
              <w:widowControl/>
              <w:jc w:val="center"/>
              <w:rPr>
                <w:rFonts w:hint="eastAsia" w:ascii="宋体" w:hAnsi="宋体" w:cs="宋体"/>
                <w:b/>
                <w:bCs/>
                <w:sz w:val="24"/>
                <w:szCs w:val="24"/>
              </w:rPr>
            </w:pPr>
            <w:r>
              <w:rPr>
                <w:rFonts w:hint="eastAsia" w:ascii="宋体" w:hAnsi="宋体" w:cs="宋体"/>
                <w:b/>
                <w:bCs/>
                <w:sz w:val="24"/>
                <w:szCs w:val="24"/>
              </w:rPr>
              <w:t>2025年6月</w:t>
            </w:r>
          </w:p>
        </w:tc>
      </w:tr>
    </w:tbl>
    <w:p w14:paraId="230182CB">
      <w:pPr>
        <w:widowControl/>
        <w:spacing w:before="156" w:beforeLines="50" w:after="156" w:afterLines="50"/>
        <w:jc w:val="center"/>
        <w:rPr>
          <w:rFonts w:hint="eastAsia" w:ascii="宋体" w:hAnsi="宋体" w:cs="宋体"/>
          <w:b/>
          <w:bCs/>
          <w:sz w:val="36"/>
          <w:szCs w:val="36"/>
        </w:rPr>
      </w:pPr>
    </w:p>
    <w:p w14:paraId="0C035A6D">
      <w:pPr>
        <w:widowControl/>
        <w:spacing w:before="156" w:beforeLines="50"/>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77B0AF4E">
      <w:pPr>
        <w:jc w:val="center"/>
        <w:rPr>
          <w:rFonts w:hint="eastAsia" w:ascii="宋体" w:hAnsi="宋体" w:cs="宋体"/>
          <w:b/>
          <w:bCs/>
          <w:sz w:val="28"/>
          <w:szCs w:val="36"/>
        </w:rPr>
      </w:pPr>
      <w:r>
        <w:rPr>
          <w:rFonts w:hint="eastAsia" w:ascii="宋体" w:hAnsi="宋体" w:cs="宋体"/>
          <w:b/>
          <w:bCs/>
          <w:sz w:val="28"/>
          <w:szCs w:val="36"/>
        </w:rPr>
        <w:t>二〇二五年六月</w:t>
      </w:r>
    </w:p>
    <w:p w14:paraId="50424DE1">
      <w:pPr>
        <w:jc w:val="center"/>
        <w:rPr>
          <w:rFonts w:hint="eastAsia" w:ascii="宋体" w:hAnsi="宋体" w:cs="宋体"/>
          <w:b/>
          <w:bCs/>
          <w:sz w:val="28"/>
          <w:szCs w:val="36"/>
        </w:rPr>
      </w:pPr>
    </w:p>
    <w:p w14:paraId="0EB957BE">
      <w:pPr>
        <w:jc w:val="center"/>
        <w:rPr>
          <w:rFonts w:hint="eastAsia" w:ascii="宋体" w:hAnsi="宋体" w:cs="宋体"/>
          <w:b/>
          <w:bCs/>
          <w:sz w:val="28"/>
          <w:szCs w:val="36"/>
        </w:rPr>
      </w:pPr>
    </w:p>
    <w:p w14:paraId="5C6BDBF2">
      <w:pPr>
        <w:jc w:val="center"/>
        <w:rPr>
          <w:rFonts w:hint="eastAsia" w:ascii="宋体" w:hAnsi="宋体" w:cs="宋体"/>
          <w:b/>
          <w:bCs/>
          <w:sz w:val="28"/>
          <w:szCs w:val="36"/>
        </w:rPr>
      </w:pPr>
    </w:p>
    <w:p w14:paraId="1AB28509">
      <w:pPr>
        <w:overflowPunct w:val="0"/>
        <w:adjustRightInd w:val="0"/>
        <w:snapToGrid w:val="0"/>
        <w:spacing w:after="312" w:afterLines="100"/>
        <w:jc w:val="center"/>
        <w:outlineLvl w:val="0"/>
        <w:rPr>
          <w:rFonts w:eastAsia="方正小标宋简体"/>
          <w:sz w:val="36"/>
          <w:szCs w:val="36"/>
        </w:rPr>
      </w:pPr>
      <w:bookmarkStart w:id="0" w:name="_Toc4969"/>
      <w:r>
        <w:rPr>
          <w:rFonts w:hint="eastAsia" w:ascii="方正公文小标宋" w:hAnsi="方正公文小标宋" w:eastAsia="方正公文小标宋" w:cs="方正公文小标宋"/>
          <w:b/>
          <w:bCs/>
          <w:sz w:val="44"/>
          <w:szCs w:val="44"/>
        </w:rPr>
        <w:t>工</w:t>
      </w:r>
      <w:r>
        <w:rPr>
          <w:rFonts w:hint="eastAsia" w:ascii="方正公文小标宋" w:hAnsi="方正公文小标宋" w:eastAsia="方正公文小标宋" w:cs="方正公文小标宋"/>
          <w:sz w:val="44"/>
          <w:szCs w:val="44"/>
        </w:rPr>
        <w:t>程造价专业人才培养方案</w:t>
      </w:r>
      <w:bookmarkEnd w:id="0"/>
    </w:p>
    <w:p w14:paraId="4DA66B02">
      <w:pPr>
        <w:overflowPunct w:val="0"/>
        <w:adjustRightInd w:val="0"/>
        <w:ind w:firstLine="640" w:firstLineChars="200"/>
        <w:rPr>
          <w:rFonts w:eastAsia="黑体"/>
          <w:szCs w:val="32"/>
        </w:rPr>
      </w:pPr>
      <w:r>
        <w:rPr>
          <w:rFonts w:hint="eastAsia" w:eastAsia="黑体"/>
          <w:szCs w:val="32"/>
        </w:rPr>
        <w:t>一、专业名称及代码</w:t>
      </w:r>
    </w:p>
    <w:p w14:paraId="0464032C">
      <w:pPr>
        <w:overflowPunct w:val="0"/>
        <w:adjustRightInd w:val="0"/>
        <w:ind w:firstLine="640" w:firstLineChars="200"/>
        <w:rPr>
          <w:rFonts w:ascii="仿宋_GB2312"/>
          <w:szCs w:val="32"/>
        </w:rPr>
      </w:pPr>
      <w:r>
        <w:rPr>
          <w:rFonts w:hint="eastAsia" w:ascii="仿宋_GB2312"/>
          <w:szCs w:val="32"/>
        </w:rPr>
        <w:t>专业名称：工程造价</w:t>
      </w:r>
    </w:p>
    <w:p w14:paraId="0BDA617D">
      <w:pPr>
        <w:overflowPunct w:val="0"/>
        <w:adjustRightInd w:val="0"/>
        <w:ind w:firstLine="640" w:firstLineChars="200"/>
        <w:rPr>
          <w:rFonts w:ascii="仿宋_GB2312"/>
          <w:szCs w:val="32"/>
        </w:rPr>
      </w:pPr>
      <w:r>
        <w:rPr>
          <w:rFonts w:hint="eastAsia" w:ascii="仿宋_GB2312"/>
          <w:szCs w:val="32"/>
        </w:rPr>
        <w:t>专业代码：440501</w:t>
      </w:r>
    </w:p>
    <w:p w14:paraId="53DABC38">
      <w:pPr>
        <w:overflowPunct w:val="0"/>
        <w:adjustRightInd w:val="0"/>
        <w:ind w:firstLine="640" w:firstLineChars="200"/>
        <w:rPr>
          <w:rFonts w:eastAsia="黑体"/>
          <w:szCs w:val="32"/>
        </w:rPr>
      </w:pPr>
      <w:r>
        <w:rPr>
          <w:rFonts w:hint="eastAsia" w:eastAsia="黑体"/>
          <w:szCs w:val="32"/>
        </w:rPr>
        <w:t>二、入学要求</w:t>
      </w:r>
    </w:p>
    <w:p w14:paraId="097398F3">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32BF4545">
      <w:pPr>
        <w:overflowPunct w:val="0"/>
        <w:adjustRightInd w:val="0"/>
        <w:ind w:firstLine="640" w:firstLineChars="200"/>
        <w:rPr>
          <w:rFonts w:eastAsia="黑体"/>
          <w:szCs w:val="32"/>
        </w:rPr>
      </w:pPr>
      <w:r>
        <w:rPr>
          <w:rFonts w:hint="eastAsia" w:eastAsia="黑体"/>
          <w:szCs w:val="32"/>
        </w:rPr>
        <w:t>三、修业年限</w:t>
      </w:r>
    </w:p>
    <w:p w14:paraId="6ED13B3C">
      <w:pPr>
        <w:overflowPunct w:val="0"/>
        <w:adjustRightInd w:val="0"/>
        <w:ind w:firstLine="640" w:firstLineChars="200"/>
        <w:rPr>
          <w:rFonts w:ascii="仿宋_GB2312"/>
          <w:szCs w:val="32"/>
        </w:rPr>
      </w:pPr>
      <w:r>
        <w:rPr>
          <w:rFonts w:hint="eastAsia" w:ascii="仿宋_GB2312"/>
          <w:szCs w:val="32"/>
        </w:rPr>
        <w:t>三年</w:t>
      </w:r>
    </w:p>
    <w:p w14:paraId="6BDA5E76">
      <w:pPr>
        <w:overflowPunct w:val="0"/>
        <w:adjustRightInd w:val="0"/>
        <w:ind w:firstLine="640" w:firstLineChars="200"/>
        <w:rPr>
          <w:rFonts w:eastAsia="黑体"/>
          <w:szCs w:val="32"/>
        </w:rPr>
      </w:pPr>
      <w:r>
        <w:rPr>
          <w:rFonts w:hint="eastAsia" w:eastAsia="黑体"/>
          <w:szCs w:val="32"/>
        </w:rPr>
        <w:t>四、职业面向</w:t>
      </w:r>
    </w:p>
    <w:p w14:paraId="3366C3D6">
      <w:pPr>
        <w:spacing w:line="360" w:lineRule="auto"/>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（一）职业面向</w:t>
      </w:r>
    </w:p>
    <w:p w14:paraId="0873C309">
      <w:pPr>
        <w:spacing w:line="400" w:lineRule="exact"/>
        <w:jc w:val="center"/>
        <w:rPr>
          <w:rFonts w:hint="eastAsia" w:ascii="仿宋" w:hAnsi="仿宋" w:eastAsia="仿宋" w:cs="仿宋"/>
          <w:b/>
          <w:szCs w:val="21"/>
        </w:rPr>
      </w:pPr>
      <w:r>
        <w:rPr>
          <w:rFonts w:hint="eastAsia" w:ascii="仿宋" w:hAnsi="仿宋" w:eastAsia="仿宋" w:cs="仿宋"/>
          <w:b/>
          <w:szCs w:val="21"/>
        </w:rPr>
        <w:t>表1职业面向</w:t>
      </w:r>
    </w:p>
    <w:tbl>
      <w:tblPr>
        <w:tblStyle w:val="10"/>
        <w:tblpPr w:leftFromText="180" w:rightFromText="180" w:vertAnchor="text" w:horzAnchor="margin" w:tblpXSpec="center" w:tblpY="67"/>
        <w:tblW w:w="98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1819"/>
        <w:gridCol w:w="2658"/>
      </w:tblGrid>
      <w:tr w14:paraId="2FC9E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5C0DDF06">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1B31D035">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610D51BA">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5705298E">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7C181662">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431F99B9">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2E592C3E">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819" w:type="dxa"/>
            <w:vAlign w:val="center"/>
          </w:tcPr>
          <w:p w14:paraId="2E031ECA">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658" w:type="dxa"/>
            <w:vAlign w:val="center"/>
          </w:tcPr>
          <w:p w14:paraId="48C1042C">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2637B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3" w:hRule="exact"/>
        </w:trPr>
        <w:tc>
          <w:tcPr>
            <w:tcW w:w="1073" w:type="dxa"/>
            <w:shd w:val="clear" w:color="auto" w:fill="auto"/>
            <w:vAlign w:val="center"/>
          </w:tcPr>
          <w:p w14:paraId="70E9F128">
            <w:pPr>
              <w:pStyle w:val="18"/>
              <w:spacing w:before="65" w:line="232" w:lineRule="auto"/>
              <w:jc w:val="center"/>
              <w:rPr>
                <w:rFonts w:hint="eastAsia"/>
                <w:spacing w:val="3"/>
                <w:lang w:eastAsia="zh-CN"/>
              </w:rPr>
            </w:pPr>
            <w:r>
              <w:rPr>
                <w:rFonts w:hint="eastAsia"/>
                <w:spacing w:val="3"/>
                <w:lang w:eastAsia="zh-CN"/>
              </w:rPr>
              <w:t>土木建筑大类</w:t>
            </w:r>
          </w:p>
          <w:p w14:paraId="59D57AE0">
            <w:pPr>
              <w:pStyle w:val="18"/>
              <w:spacing w:before="65" w:line="232" w:lineRule="auto"/>
              <w:jc w:val="center"/>
              <w:rPr>
                <w:rFonts w:hint="eastAsia"/>
                <w:lang w:eastAsia="zh-CN"/>
              </w:rPr>
            </w:pPr>
            <w:r>
              <w:rPr>
                <w:rFonts w:hint="eastAsia"/>
                <w:spacing w:val="3"/>
                <w:lang w:eastAsia="zh-CN"/>
              </w:rPr>
              <w:t>（44）</w:t>
            </w:r>
          </w:p>
        </w:tc>
        <w:tc>
          <w:tcPr>
            <w:tcW w:w="1156" w:type="dxa"/>
            <w:shd w:val="clear" w:color="auto" w:fill="auto"/>
            <w:vAlign w:val="center"/>
          </w:tcPr>
          <w:p w14:paraId="6DD7BA37">
            <w:pPr>
              <w:pStyle w:val="18"/>
              <w:spacing w:before="65" w:line="187" w:lineRule="auto"/>
              <w:jc w:val="center"/>
              <w:rPr>
                <w:rFonts w:hint="eastAsia"/>
                <w:spacing w:val="3"/>
              </w:rPr>
            </w:pPr>
            <w:r>
              <w:rPr>
                <w:rFonts w:hint="eastAsia"/>
                <w:spacing w:val="3"/>
                <w:lang w:eastAsia="zh-CN"/>
              </w:rPr>
              <w:t>建设工程管理</w:t>
            </w:r>
            <w:r>
              <w:rPr>
                <w:rFonts w:hint="eastAsia"/>
                <w:spacing w:val="3"/>
              </w:rPr>
              <w:t>类</w:t>
            </w:r>
          </w:p>
          <w:p w14:paraId="080FBDD4">
            <w:pPr>
              <w:pStyle w:val="18"/>
              <w:spacing w:before="65" w:line="187" w:lineRule="auto"/>
              <w:jc w:val="center"/>
              <w:rPr>
                <w:rFonts w:hint="eastAsia"/>
              </w:rPr>
            </w:pPr>
            <w:r>
              <w:rPr>
                <w:rFonts w:hint="eastAsia"/>
                <w:spacing w:val="3"/>
              </w:rPr>
              <w:t>（</w:t>
            </w:r>
            <w:r>
              <w:rPr>
                <w:rFonts w:hint="eastAsia"/>
                <w:spacing w:val="3"/>
                <w:lang w:eastAsia="zh-CN"/>
              </w:rPr>
              <w:t>4405</w:t>
            </w:r>
            <w:r>
              <w:rPr>
                <w:rFonts w:hint="eastAsia"/>
                <w:spacing w:val="3"/>
              </w:rPr>
              <w:t>）</w:t>
            </w:r>
          </w:p>
        </w:tc>
        <w:tc>
          <w:tcPr>
            <w:tcW w:w="1413" w:type="dxa"/>
            <w:shd w:val="clear" w:color="auto" w:fill="auto"/>
            <w:vAlign w:val="center"/>
          </w:tcPr>
          <w:p w14:paraId="5EF22C94">
            <w:pPr>
              <w:pStyle w:val="18"/>
              <w:spacing w:before="65"/>
              <w:jc w:val="center"/>
              <w:rPr>
                <w:rFonts w:hint="eastAsia"/>
                <w:lang w:eastAsia="zh-CN"/>
              </w:rPr>
            </w:pPr>
            <w:r>
              <w:rPr>
                <w:rFonts w:hint="eastAsia"/>
                <w:lang w:eastAsia="zh-CN"/>
              </w:rPr>
              <w:t>工程技术与设计服务（748）</w:t>
            </w:r>
          </w:p>
        </w:tc>
        <w:tc>
          <w:tcPr>
            <w:tcW w:w="1697" w:type="dxa"/>
            <w:shd w:val="clear" w:color="auto" w:fill="auto"/>
            <w:vAlign w:val="center"/>
          </w:tcPr>
          <w:p w14:paraId="0BA51D4F">
            <w:pPr>
              <w:pStyle w:val="18"/>
              <w:spacing w:before="65" w:line="231" w:lineRule="auto"/>
              <w:jc w:val="center"/>
              <w:rPr>
                <w:rFonts w:hint="eastAsia"/>
                <w:spacing w:val="7"/>
                <w:lang w:eastAsia="zh-CN"/>
              </w:rPr>
            </w:pPr>
            <w:r>
              <w:rPr>
                <w:rFonts w:hint="eastAsia"/>
                <w:spacing w:val="7"/>
                <w:lang w:eastAsia="zh-CN"/>
              </w:rPr>
              <w:t>工程造价工程技术人员2-02-30-10</w:t>
            </w:r>
          </w:p>
          <w:p w14:paraId="5862169F">
            <w:pPr>
              <w:pStyle w:val="18"/>
              <w:spacing w:before="65" w:line="231" w:lineRule="auto"/>
              <w:rPr>
                <w:rFonts w:hint="eastAsia"/>
                <w:lang w:eastAsia="zh-CN"/>
              </w:rPr>
            </w:pPr>
          </w:p>
        </w:tc>
        <w:tc>
          <w:tcPr>
            <w:tcW w:w="1819" w:type="dxa"/>
            <w:shd w:val="clear" w:color="auto" w:fill="auto"/>
            <w:vAlign w:val="center"/>
          </w:tcPr>
          <w:p w14:paraId="3C80AED1">
            <w:pPr>
              <w:jc w:val="center"/>
              <w:rPr>
                <w:rFonts w:hint="eastAsia" w:ascii="仿宋" w:hAnsi="仿宋" w:eastAsia="仿宋" w:cs="仿宋"/>
                <w:spacing w:val="7"/>
                <w:kern w:val="2"/>
                <w:sz w:val="20"/>
                <w:szCs w:val="20"/>
                <w:lang w:val="en-US" w:eastAsia="zh-CN" w:bidi="ar-SA"/>
              </w:rPr>
            </w:pPr>
            <w:r>
              <w:rPr>
                <w:rFonts w:hint="eastAsia" w:ascii="仿宋" w:hAnsi="仿宋" w:eastAsia="仿宋" w:cs="仿宋"/>
                <w:spacing w:val="7"/>
                <w:kern w:val="2"/>
                <w:sz w:val="20"/>
                <w:szCs w:val="20"/>
                <w:lang w:val="en-US" w:eastAsia="zh-CN" w:bidi="ar-SA"/>
              </w:rPr>
              <w:t>工程造价估算员</w:t>
            </w:r>
          </w:p>
          <w:p w14:paraId="30E02CCF">
            <w:pPr>
              <w:pStyle w:val="18"/>
              <w:spacing w:before="210" w:line="229" w:lineRule="auto"/>
              <w:jc w:val="center"/>
              <w:rPr>
                <w:rFonts w:hint="eastAsia" w:ascii="仿宋" w:hAnsi="仿宋" w:eastAsia="仿宋" w:cs="仿宋"/>
                <w:spacing w:val="7"/>
                <w:kern w:val="2"/>
                <w:sz w:val="20"/>
                <w:szCs w:val="20"/>
                <w:lang w:val="en-US" w:eastAsia="zh-CN" w:bidi="ar-SA"/>
              </w:rPr>
            </w:pPr>
            <w:r>
              <w:rPr>
                <w:rFonts w:hint="eastAsia" w:ascii="仿宋" w:hAnsi="仿宋" w:eastAsia="仿宋" w:cs="仿宋"/>
                <w:spacing w:val="7"/>
                <w:kern w:val="2"/>
                <w:sz w:val="20"/>
                <w:szCs w:val="20"/>
                <w:lang w:val="en-US" w:eastAsia="zh-CN" w:bidi="ar-SA"/>
              </w:rPr>
              <w:t>预算员</w:t>
            </w:r>
          </w:p>
          <w:p w14:paraId="0D0D25C9">
            <w:pPr>
              <w:pStyle w:val="18"/>
              <w:spacing w:before="210" w:line="229" w:lineRule="auto"/>
              <w:jc w:val="center"/>
              <w:rPr>
                <w:rFonts w:hint="eastAsia" w:ascii="仿宋" w:hAnsi="仿宋" w:eastAsia="仿宋" w:cs="仿宋"/>
                <w:spacing w:val="7"/>
                <w:kern w:val="2"/>
                <w:sz w:val="20"/>
                <w:szCs w:val="20"/>
                <w:lang w:val="en-US" w:eastAsia="zh-CN" w:bidi="ar-SA"/>
              </w:rPr>
            </w:pPr>
            <w:r>
              <w:rPr>
                <w:rFonts w:hint="eastAsia" w:ascii="仿宋" w:hAnsi="仿宋" w:eastAsia="仿宋" w:cs="仿宋"/>
                <w:spacing w:val="7"/>
                <w:kern w:val="2"/>
                <w:sz w:val="20"/>
                <w:szCs w:val="20"/>
                <w:lang w:val="en-US" w:eastAsia="zh-CN" w:bidi="ar-SA"/>
              </w:rPr>
              <w:t>工程量清单编制员</w:t>
            </w:r>
          </w:p>
          <w:p w14:paraId="103C112A">
            <w:pPr>
              <w:jc w:val="center"/>
              <w:rPr>
                <w:rFonts w:hint="eastAsia" w:ascii="仿宋" w:hAnsi="仿宋" w:eastAsia="仿宋" w:cs="仿宋"/>
                <w:spacing w:val="7"/>
                <w:kern w:val="2"/>
                <w:sz w:val="20"/>
                <w:szCs w:val="20"/>
                <w:lang w:val="en-US" w:eastAsia="zh-CN" w:bidi="ar-SA"/>
              </w:rPr>
            </w:pPr>
            <w:r>
              <w:rPr>
                <w:rFonts w:hint="eastAsia" w:ascii="仿宋" w:hAnsi="仿宋" w:eastAsia="仿宋" w:cs="仿宋"/>
                <w:spacing w:val="7"/>
                <w:kern w:val="2"/>
                <w:sz w:val="20"/>
                <w:szCs w:val="20"/>
                <w:lang w:val="en-US" w:eastAsia="zh-CN" w:bidi="ar-SA"/>
              </w:rPr>
              <w:t>工程造价控制工程师</w:t>
            </w:r>
          </w:p>
          <w:p w14:paraId="76E15FC6">
            <w:pPr>
              <w:jc w:val="center"/>
              <w:rPr>
                <w:rFonts w:hint="eastAsia" w:ascii="仿宋" w:hAnsi="仿宋" w:eastAsia="仿宋" w:cs="仿宋"/>
                <w:spacing w:val="7"/>
                <w:kern w:val="2"/>
                <w:sz w:val="20"/>
                <w:szCs w:val="20"/>
                <w:lang w:val="en-US" w:eastAsia="zh-CN" w:bidi="ar-SA"/>
              </w:rPr>
            </w:pPr>
            <w:r>
              <w:rPr>
                <w:rFonts w:hint="eastAsia" w:ascii="仿宋" w:hAnsi="仿宋" w:eastAsia="仿宋" w:cs="仿宋"/>
                <w:spacing w:val="7"/>
                <w:kern w:val="2"/>
                <w:sz w:val="20"/>
                <w:szCs w:val="20"/>
                <w:lang w:val="en-US" w:eastAsia="zh-CN" w:bidi="ar-SA"/>
              </w:rPr>
              <w:t>成本管理专员</w:t>
            </w:r>
          </w:p>
          <w:p w14:paraId="4B51D3A0">
            <w:pPr>
              <w:pStyle w:val="18"/>
              <w:spacing w:before="210" w:line="229" w:lineRule="auto"/>
              <w:jc w:val="center"/>
              <w:rPr>
                <w:rFonts w:hint="eastAsia"/>
                <w:color w:val="0000FF"/>
                <w:spacing w:val="-4"/>
                <w:sz w:val="18"/>
                <w:szCs w:val="18"/>
                <w:lang w:eastAsia="zh-CN"/>
              </w:rPr>
            </w:pPr>
            <w:r>
              <w:rPr>
                <w:rFonts w:hint="eastAsia" w:ascii="仿宋" w:hAnsi="仿宋" w:eastAsia="仿宋" w:cs="仿宋"/>
                <w:spacing w:val="7"/>
                <w:kern w:val="2"/>
                <w:sz w:val="20"/>
                <w:szCs w:val="20"/>
                <w:lang w:val="en-US" w:eastAsia="zh-CN" w:bidi="ar-SA"/>
              </w:rPr>
              <w:t>工程结算审核员</w:t>
            </w:r>
          </w:p>
        </w:tc>
        <w:tc>
          <w:tcPr>
            <w:tcW w:w="2658" w:type="dxa"/>
            <w:shd w:val="clear" w:color="auto" w:fill="auto"/>
            <w:vAlign w:val="center"/>
          </w:tcPr>
          <w:p w14:paraId="2323C469">
            <w:pPr>
              <w:pStyle w:val="18"/>
              <w:spacing w:before="65" w:line="360" w:lineRule="exact"/>
              <w:jc w:val="center"/>
              <w:rPr>
                <w:rFonts w:hint="eastAsia"/>
                <w:color w:val="auto"/>
                <w:spacing w:val="5"/>
                <w:position w:val="11"/>
                <w:lang w:eastAsia="zh-CN"/>
              </w:rPr>
            </w:pPr>
            <w:r>
              <w:rPr>
                <w:rFonts w:hint="eastAsia"/>
                <w:color w:val="auto"/>
                <w:spacing w:val="5"/>
                <w:position w:val="11"/>
                <w:lang w:eastAsia="zh-CN"/>
              </w:rPr>
              <w:t>造价工程师（一级、二级）</w:t>
            </w:r>
          </w:p>
          <w:p w14:paraId="2E32C75D">
            <w:pPr>
              <w:pStyle w:val="18"/>
              <w:spacing w:before="65" w:line="360" w:lineRule="exact"/>
              <w:jc w:val="center"/>
              <w:rPr>
                <w:rFonts w:hint="eastAsia"/>
                <w:color w:val="auto"/>
                <w:spacing w:val="5"/>
                <w:position w:val="11"/>
                <w:lang w:eastAsia="zh-CN"/>
              </w:rPr>
            </w:pPr>
            <w:r>
              <w:rPr>
                <w:rFonts w:hint="eastAsia"/>
                <w:color w:val="auto"/>
                <w:spacing w:val="5"/>
                <w:position w:val="11"/>
                <w:lang w:eastAsia="zh-CN"/>
              </w:rPr>
              <w:t>BIM 建模师（一级）</w:t>
            </w:r>
          </w:p>
          <w:p w14:paraId="3D363ACA">
            <w:pPr>
              <w:pStyle w:val="18"/>
              <w:spacing w:before="65" w:line="360" w:lineRule="exact"/>
              <w:jc w:val="center"/>
              <w:rPr>
                <w:rFonts w:hint="eastAsia"/>
                <w:color w:val="auto"/>
                <w:spacing w:val="5"/>
                <w:position w:val="11"/>
                <w:lang w:eastAsia="zh-CN"/>
              </w:rPr>
            </w:pPr>
            <w:r>
              <w:rPr>
                <w:rFonts w:hint="eastAsia"/>
                <w:color w:val="auto"/>
                <w:spacing w:val="5"/>
                <w:position w:val="11"/>
                <w:lang w:eastAsia="zh-CN"/>
              </w:rPr>
              <w:t>BIM 高级建模师（二级） BIM 应用设计师（三级）</w:t>
            </w:r>
          </w:p>
          <w:p w14:paraId="6D16FEBE">
            <w:pPr>
              <w:pStyle w:val="18"/>
              <w:spacing w:before="65" w:line="360" w:lineRule="exact"/>
              <w:jc w:val="center"/>
              <w:rPr>
                <w:rFonts w:hint="eastAsia"/>
                <w:lang w:eastAsia="zh-CN"/>
              </w:rPr>
            </w:pPr>
            <w:r>
              <w:rPr>
                <w:rFonts w:hint="eastAsia"/>
                <w:color w:val="auto"/>
                <w:spacing w:val="5"/>
                <w:position w:val="11"/>
                <w:lang w:eastAsia="zh-CN"/>
              </w:rPr>
              <w:t>职业技能等级证书（初级、中级）</w:t>
            </w:r>
          </w:p>
        </w:tc>
      </w:tr>
    </w:tbl>
    <w:p w14:paraId="423D1693">
      <w:pPr>
        <w:spacing w:line="400" w:lineRule="exact"/>
        <w:jc w:val="center"/>
        <w:rPr>
          <w:rFonts w:eastAsia="仿宋"/>
          <w:color w:val="FF0000"/>
          <w:sz w:val="16"/>
          <w:szCs w:val="18"/>
        </w:rPr>
      </w:pPr>
      <w:r>
        <w:rPr>
          <w:rFonts w:hint="eastAsia" w:eastAsia="仿宋"/>
          <w:color w:val="FF0000"/>
          <w:sz w:val="16"/>
          <w:szCs w:val="18"/>
        </w:rPr>
        <w:t xml:space="preserve"> </w:t>
      </w:r>
    </w:p>
    <w:p w14:paraId="3C97E742">
      <w:pPr>
        <w:spacing w:line="400" w:lineRule="exact"/>
        <w:jc w:val="center"/>
        <w:rPr>
          <w:rFonts w:eastAsia="仿宋"/>
          <w:color w:val="FF0000"/>
          <w:sz w:val="16"/>
          <w:szCs w:val="18"/>
        </w:rPr>
      </w:pPr>
    </w:p>
    <w:p w14:paraId="2A8FB15C">
      <w:pPr>
        <w:spacing w:line="400" w:lineRule="exact"/>
        <w:jc w:val="center"/>
        <w:rPr>
          <w:rFonts w:hint="eastAsia" w:ascii="仿宋" w:hAnsi="仿宋" w:eastAsia="仿宋" w:cs="仿宋"/>
          <w:b/>
          <w:szCs w:val="21"/>
        </w:rPr>
      </w:pPr>
    </w:p>
    <w:p w14:paraId="6593DCDA">
      <w:pPr>
        <w:spacing w:line="400" w:lineRule="exact"/>
        <w:jc w:val="center"/>
        <w:rPr>
          <w:rFonts w:hint="eastAsia" w:ascii="仿宋" w:hAnsi="仿宋" w:eastAsia="仿宋" w:cs="仿宋"/>
          <w:b/>
          <w:szCs w:val="21"/>
        </w:rPr>
      </w:pPr>
    </w:p>
    <w:p w14:paraId="748C8D81">
      <w:pPr>
        <w:spacing w:line="400" w:lineRule="exact"/>
        <w:jc w:val="center"/>
        <w:rPr>
          <w:rFonts w:hint="eastAsia" w:ascii="仿宋" w:hAnsi="仿宋" w:eastAsia="仿宋" w:cs="仿宋"/>
          <w:b/>
          <w:szCs w:val="21"/>
        </w:rPr>
      </w:pPr>
    </w:p>
    <w:p w14:paraId="4F1D86CC">
      <w:pPr>
        <w:spacing w:line="400" w:lineRule="exact"/>
        <w:jc w:val="center"/>
        <w:rPr>
          <w:rFonts w:hint="eastAsia" w:ascii="仿宋" w:hAnsi="仿宋" w:eastAsia="仿宋" w:cs="仿宋"/>
          <w:b/>
          <w:szCs w:val="21"/>
        </w:rPr>
      </w:pPr>
    </w:p>
    <w:p w14:paraId="3AC9208B">
      <w:pPr>
        <w:spacing w:line="400" w:lineRule="exact"/>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rPr>
        <w:t xml:space="preserve">2 </w:t>
      </w:r>
      <w:r>
        <w:rPr>
          <w:rFonts w:ascii="仿宋" w:hAnsi="仿宋" w:eastAsia="仿宋" w:cs="仿宋"/>
          <w:b/>
          <w:szCs w:val="21"/>
        </w:rPr>
        <w:t>岗位能力分析表</w:t>
      </w:r>
    </w:p>
    <w:tbl>
      <w:tblPr>
        <w:tblStyle w:val="1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2332"/>
        <w:gridCol w:w="2340"/>
        <w:gridCol w:w="2590"/>
      </w:tblGrid>
      <w:tr w14:paraId="31E8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56" w:type="dxa"/>
            <w:vAlign w:val="center"/>
          </w:tcPr>
          <w:p w14:paraId="50F24591">
            <w:pPr>
              <w:jc w:val="center"/>
              <w:rPr>
                <w:rFonts w:hint="eastAsia"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2332" w:type="dxa"/>
            <w:vAlign w:val="center"/>
          </w:tcPr>
          <w:p w14:paraId="7963BA0B">
            <w:pPr>
              <w:jc w:val="center"/>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340" w:type="dxa"/>
            <w:shd w:val="clear" w:color="auto" w:fill="auto"/>
            <w:vAlign w:val="center"/>
          </w:tcPr>
          <w:p w14:paraId="01E52732">
            <w:pPr>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2590" w:type="dxa"/>
            <w:shd w:val="clear" w:color="auto" w:fill="auto"/>
            <w:vAlign w:val="center"/>
          </w:tcPr>
          <w:p w14:paraId="4F1D4B8E">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37E3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56" w:type="dxa"/>
            <w:vAlign w:val="center"/>
          </w:tcPr>
          <w:p w14:paraId="3CED2592">
            <w:pPr>
              <w:jc w:val="center"/>
              <w:rPr>
                <w:color w:val="auto"/>
                <w:spacing w:val="-4"/>
                <w:sz w:val="18"/>
                <w:szCs w:val="18"/>
              </w:rPr>
            </w:pPr>
            <w:r>
              <w:rPr>
                <w:rFonts w:hint="eastAsia"/>
                <w:color w:val="auto"/>
                <w:spacing w:val="-4"/>
                <w:sz w:val="18"/>
                <w:szCs w:val="18"/>
              </w:rPr>
              <w:t>工程造价估算员</w:t>
            </w:r>
          </w:p>
          <w:p w14:paraId="70C734DE">
            <w:pPr>
              <w:jc w:val="center"/>
              <w:rPr>
                <w:color w:val="auto"/>
                <w:spacing w:val="-4"/>
                <w:sz w:val="18"/>
                <w:szCs w:val="18"/>
              </w:rPr>
            </w:pPr>
          </w:p>
        </w:tc>
        <w:tc>
          <w:tcPr>
            <w:tcW w:w="2332" w:type="dxa"/>
            <w:vAlign w:val="center"/>
          </w:tcPr>
          <w:p w14:paraId="254418E5">
            <w:pPr>
              <w:numPr>
                <w:ilvl w:val="0"/>
                <w:numId w:val="1"/>
              </w:numPr>
              <w:jc w:val="left"/>
              <w:rPr>
                <w:spacing w:val="-4"/>
                <w:sz w:val="18"/>
                <w:szCs w:val="18"/>
              </w:rPr>
            </w:pPr>
            <w:r>
              <w:rPr>
                <w:spacing w:val="-4"/>
                <w:sz w:val="18"/>
                <w:szCs w:val="18"/>
              </w:rPr>
              <w:t>收集整理工程项目基础资料，包括项目建议书、可行性研究报告等；</w:t>
            </w:r>
          </w:p>
          <w:p w14:paraId="407BC090">
            <w:pPr>
              <w:numPr>
                <w:ilvl w:val="0"/>
                <w:numId w:val="1"/>
              </w:numPr>
              <w:jc w:val="left"/>
              <w:rPr>
                <w:spacing w:val="-4"/>
                <w:sz w:val="18"/>
                <w:szCs w:val="18"/>
              </w:rPr>
            </w:pPr>
            <w:r>
              <w:rPr>
                <w:spacing w:val="-4"/>
                <w:sz w:val="18"/>
                <w:szCs w:val="18"/>
              </w:rPr>
              <w:t>根据项目初步设计方案，运用估算指标、类似工程数据等，对工程项目投资进行初步估算；</w:t>
            </w:r>
          </w:p>
          <w:p w14:paraId="66973711">
            <w:pPr>
              <w:jc w:val="left"/>
              <w:rPr>
                <w:strike/>
                <w:spacing w:val="-4"/>
                <w:sz w:val="18"/>
                <w:szCs w:val="18"/>
              </w:rPr>
            </w:pPr>
            <w:r>
              <w:rPr>
                <w:spacing w:val="-4"/>
                <w:sz w:val="18"/>
                <w:szCs w:val="18"/>
              </w:rPr>
              <w:t>3. 编制工程项目投资估算报告，对估算结果进行分析和说明，为项目决策提供依据</w:t>
            </w:r>
          </w:p>
        </w:tc>
        <w:tc>
          <w:tcPr>
            <w:tcW w:w="2340" w:type="dxa"/>
          </w:tcPr>
          <w:p w14:paraId="52287073">
            <w:pPr>
              <w:jc w:val="left"/>
              <w:rPr>
                <w:sz w:val="18"/>
                <w:szCs w:val="18"/>
              </w:rPr>
            </w:pPr>
            <w:r>
              <w:rPr>
                <w:sz w:val="18"/>
                <w:szCs w:val="18"/>
              </w:rPr>
              <w:t>1. 熟悉工程建设各阶段流程及投资构成；</w:t>
            </w:r>
          </w:p>
          <w:p w14:paraId="746ECD7B">
            <w:pPr>
              <w:jc w:val="left"/>
              <w:rPr>
                <w:sz w:val="18"/>
                <w:szCs w:val="18"/>
              </w:rPr>
            </w:pPr>
            <w:r>
              <w:rPr>
                <w:sz w:val="18"/>
                <w:szCs w:val="18"/>
              </w:rPr>
              <w:t>2. 掌握投资估算指标、概算定额等计价依据；</w:t>
            </w:r>
          </w:p>
          <w:p w14:paraId="59CDE27D">
            <w:pPr>
              <w:jc w:val="left"/>
              <w:rPr>
                <w:sz w:val="18"/>
                <w:szCs w:val="18"/>
              </w:rPr>
            </w:pPr>
            <w:r>
              <w:rPr>
                <w:sz w:val="18"/>
                <w:szCs w:val="18"/>
              </w:rPr>
              <w:t>3. 具备数据分析和处理能力，能快速抓取有效信息；</w:t>
            </w:r>
          </w:p>
          <w:p w14:paraId="4A76CA86">
            <w:pPr>
              <w:jc w:val="left"/>
              <w:rPr>
                <w:sz w:val="18"/>
                <w:szCs w:val="18"/>
              </w:rPr>
            </w:pPr>
            <w:r>
              <w:rPr>
                <w:sz w:val="18"/>
                <w:szCs w:val="18"/>
              </w:rPr>
              <w:t>4. 熟练使用造价估算软件；</w:t>
            </w:r>
          </w:p>
          <w:p w14:paraId="4A444CD9">
            <w:pPr>
              <w:jc w:val="left"/>
              <w:rPr>
                <w:sz w:val="18"/>
                <w:szCs w:val="18"/>
              </w:rPr>
            </w:pPr>
            <w:r>
              <w:rPr>
                <w:sz w:val="18"/>
                <w:szCs w:val="18"/>
              </w:rPr>
              <w:t>5. 良好的文字表达能力，能撰写规范报告</w:t>
            </w:r>
          </w:p>
          <w:p w14:paraId="3944F653">
            <w:pPr>
              <w:jc w:val="left"/>
              <w:rPr>
                <w:sz w:val="18"/>
                <w:szCs w:val="18"/>
              </w:rPr>
            </w:pPr>
          </w:p>
        </w:tc>
        <w:tc>
          <w:tcPr>
            <w:tcW w:w="2590" w:type="dxa"/>
          </w:tcPr>
          <w:p w14:paraId="25AAB1A9">
            <w:pPr>
              <w:rPr>
                <w:sz w:val="18"/>
                <w:szCs w:val="18"/>
              </w:rPr>
            </w:pPr>
            <w:r>
              <w:rPr>
                <w:rFonts w:hint="eastAsia"/>
                <w:sz w:val="18"/>
                <w:szCs w:val="18"/>
              </w:rPr>
              <w:t>《工程造价控制与管理》</w:t>
            </w:r>
          </w:p>
          <w:p w14:paraId="206E5C44">
            <w:pPr>
              <w:rPr>
                <w:sz w:val="18"/>
                <w:szCs w:val="18"/>
              </w:rPr>
            </w:pPr>
            <w:r>
              <w:rPr>
                <w:rFonts w:hint="eastAsia"/>
                <w:sz w:val="18"/>
                <w:szCs w:val="18"/>
              </w:rPr>
              <w:t>《建筑工程计量与计价》</w:t>
            </w:r>
          </w:p>
          <w:p w14:paraId="44D65533">
            <w:pPr>
              <w:rPr>
                <w:sz w:val="18"/>
                <w:szCs w:val="18"/>
              </w:rPr>
            </w:pPr>
            <w:r>
              <w:rPr>
                <w:rFonts w:hint="eastAsia"/>
                <w:sz w:val="18"/>
                <w:szCs w:val="18"/>
              </w:rPr>
              <w:t>《工程造价及算量软件实训》</w:t>
            </w:r>
          </w:p>
          <w:p w14:paraId="6D8F5DB7">
            <w:pPr>
              <w:rPr>
                <w:sz w:val="18"/>
                <w:szCs w:val="18"/>
              </w:rPr>
            </w:pPr>
            <w:r>
              <w:rPr>
                <w:rFonts w:hint="eastAsia"/>
                <w:sz w:val="18"/>
                <w:szCs w:val="18"/>
              </w:rPr>
              <w:t>《建筑制图与识图》</w:t>
            </w:r>
          </w:p>
          <w:p w14:paraId="300B2DAB">
            <w:pPr>
              <w:rPr>
                <w:sz w:val="18"/>
                <w:szCs w:val="18"/>
              </w:rPr>
            </w:pPr>
            <w:r>
              <w:rPr>
                <w:sz w:val="18"/>
                <w:szCs w:val="18"/>
              </w:rPr>
              <w:t>《建筑工程经济》</w:t>
            </w:r>
          </w:p>
        </w:tc>
      </w:tr>
      <w:tr w14:paraId="1BB7C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56" w:type="dxa"/>
            <w:vAlign w:val="center"/>
          </w:tcPr>
          <w:p w14:paraId="3666A3FA">
            <w:pPr>
              <w:jc w:val="center"/>
              <w:rPr>
                <w:color w:val="auto"/>
                <w:spacing w:val="-4"/>
                <w:sz w:val="18"/>
                <w:szCs w:val="18"/>
              </w:rPr>
            </w:pPr>
            <w:r>
              <w:rPr>
                <w:rFonts w:hint="eastAsia"/>
                <w:color w:val="auto"/>
                <w:spacing w:val="-4"/>
                <w:sz w:val="18"/>
                <w:szCs w:val="18"/>
              </w:rPr>
              <w:t>预算员</w:t>
            </w:r>
          </w:p>
        </w:tc>
        <w:tc>
          <w:tcPr>
            <w:tcW w:w="2332" w:type="dxa"/>
            <w:vAlign w:val="center"/>
          </w:tcPr>
          <w:p w14:paraId="1AAD7A53">
            <w:pPr>
              <w:numPr>
                <w:ilvl w:val="0"/>
                <w:numId w:val="2"/>
              </w:numPr>
              <w:jc w:val="left"/>
              <w:rPr>
                <w:spacing w:val="-4"/>
                <w:sz w:val="18"/>
                <w:szCs w:val="18"/>
              </w:rPr>
            </w:pPr>
            <w:r>
              <w:rPr>
                <w:spacing w:val="-4"/>
                <w:sz w:val="18"/>
                <w:szCs w:val="18"/>
              </w:rPr>
              <w:t>依据施工图纸、施工组织设计、预算定额等，计算工程量；</w:t>
            </w:r>
          </w:p>
          <w:p w14:paraId="0C3A8717">
            <w:pPr>
              <w:numPr>
                <w:ilvl w:val="0"/>
                <w:numId w:val="2"/>
              </w:numPr>
              <w:jc w:val="left"/>
              <w:rPr>
                <w:spacing w:val="-4"/>
                <w:sz w:val="18"/>
                <w:szCs w:val="18"/>
              </w:rPr>
            </w:pPr>
            <w:r>
              <w:rPr>
                <w:spacing w:val="-4"/>
                <w:sz w:val="18"/>
                <w:szCs w:val="18"/>
              </w:rPr>
              <w:t>套用定额，确定工程直接费、间接费、利润和税金等费用，编制工程预算书；</w:t>
            </w:r>
          </w:p>
          <w:p w14:paraId="3C5D3507">
            <w:pPr>
              <w:numPr>
                <w:ilvl w:val="0"/>
                <w:numId w:val="2"/>
              </w:numPr>
              <w:jc w:val="left"/>
              <w:rPr>
                <w:spacing w:val="-4"/>
                <w:sz w:val="18"/>
                <w:szCs w:val="18"/>
              </w:rPr>
            </w:pPr>
            <w:r>
              <w:rPr>
                <w:spacing w:val="-4"/>
                <w:sz w:val="18"/>
                <w:szCs w:val="18"/>
              </w:rPr>
              <w:t>参与工程招投标，协助编制投标报价，分析投标竞争对手的报价情况；</w:t>
            </w:r>
          </w:p>
          <w:p w14:paraId="5EC825CF">
            <w:pPr>
              <w:jc w:val="left"/>
              <w:rPr>
                <w:spacing w:val="-4"/>
                <w:sz w:val="18"/>
                <w:szCs w:val="18"/>
              </w:rPr>
            </w:pPr>
            <w:r>
              <w:rPr>
                <w:spacing w:val="-4"/>
                <w:sz w:val="18"/>
                <w:szCs w:val="18"/>
              </w:rPr>
              <w:t>4. 对预算执行情况进行跟踪，及时发现并解决预算执行过程中的问题</w:t>
            </w:r>
          </w:p>
          <w:p w14:paraId="3F5F4EFD">
            <w:pPr>
              <w:jc w:val="center"/>
              <w:rPr>
                <w:spacing w:val="-4"/>
                <w:sz w:val="18"/>
                <w:szCs w:val="18"/>
              </w:rPr>
            </w:pPr>
          </w:p>
        </w:tc>
        <w:tc>
          <w:tcPr>
            <w:tcW w:w="2340" w:type="dxa"/>
          </w:tcPr>
          <w:p w14:paraId="4666231D">
            <w:pPr>
              <w:numPr>
                <w:ilvl w:val="0"/>
                <w:numId w:val="3"/>
              </w:numPr>
              <w:jc w:val="center"/>
              <w:rPr>
                <w:sz w:val="18"/>
                <w:szCs w:val="18"/>
              </w:rPr>
            </w:pPr>
            <w:r>
              <w:rPr>
                <w:sz w:val="18"/>
                <w:szCs w:val="18"/>
              </w:rPr>
              <w:t>熟练识读建筑、结构、水电等专业施工图纸；</w:t>
            </w:r>
          </w:p>
          <w:p w14:paraId="575DFC41">
            <w:pPr>
              <w:numPr>
                <w:ilvl w:val="0"/>
                <w:numId w:val="3"/>
              </w:numPr>
              <w:rPr>
                <w:sz w:val="18"/>
                <w:szCs w:val="18"/>
              </w:rPr>
            </w:pPr>
            <w:r>
              <w:rPr>
                <w:sz w:val="18"/>
                <w:szCs w:val="18"/>
              </w:rPr>
              <w:t>精通预算定额、费用定额及相关计价规范；</w:t>
            </w:r>
          </w:p>
          <w:p w14:paraId="4BA338F5">
            <w:pPr>
              <w:numPr>
                <w:ilvl w:val="0"/>
                <w:numId w:val="3"/>
              </w:numPr>
              <w:rPr>
                <w:sz w:val="18"/>
                <w:szCs w:val="18"/>
              </w:rPr>
            </w:pPr>
            <w:r>
              <w:rPr>
                <w:sz w:val="18"/>
                <w:szCs w:val="18"/>
              </w:rPr>
              <w:t>具备较强的计算能力和成本分析能力；</w:t>
            </w:r>
          </w:p>
          <w:p w14:paraId="4FCCE5B2">
            <w:pPr>
              <w:numPr>
                <w:ilvl w:val="0"/>
                <w:numId w:val="3"/>
              </w:numPr>
              <w:rPr>
                <w:sz w:val="18"/>
                <w:szCs w:val="18"/>
              </w:rPr>
            </w:pPr>
            <w:r>
              <w:rPr>
                <w:sz w:val="18"/>
                <w:szCs w:val="18"/>
              </w:rPr>
              <w:t>熟悉招投标流程及报价策略；</w:t>
            </w:r>
          </w:p>
          <w:p w14:paraId="0294BD94">
            <w:pPr>
              <w:rPr>
                <w:sz w:val="18"/>
                <w:szCs w:val="18"/>
              </w:rPr>
            </w:pPr>
            <w:r>
              <w:rPr>
                <w:sz w:val="18"/>
                <w:szCs w:val="18"/>
              </w:rPr>
              <w:t>5. 良好的沟通协调能力，与各部门协同工作</w:t>
            </w:r>
          </w:p>
          <w:p w14:paraId="1F397710">
            <w:pPr>
              <w:jc w:val="center"/>
              <w:rPr>
                <w:sz w:val="18"/>
                <w:szCs w:val="18"/>
              </w:rPr>
            </w:pPr>
          </w:p>
        </w:tc>
        <w:tc>
          <w:tcPr>
            <w:tcW w:w="2590" w:type="dxa"/>
          </w:tcPr>
          <w:p w14:paraId="7A995F4D">
            <w:pPr>
              <w:rPr>
                <w:sz w:val="18"/>
                <w:szCs w:val="18"/>
              </w:rPr>
            </w:pPr>
            <w:r>
              <w:rPr>
                <w:rFonts w:hint="eastAsia"/>
                <w:sz w:val="18"/>
                <w:szCs w:val="18"/>
              </w:rPr>
              <w:t>《建筑制图与识图》</w:t>
            </w:r>
          </w:p>
          <w:p w14:paraId="68EA108B">
            <w:pPr>
              <w:rPr>
                <w:sz w:val="18"/>
                <w:szCs w:val="18"/>
              </w:rPr>
            </w:pPr>
            <w:r>
              <w:rPr>
                <w:rFonts w:hint="eastAsia"/>
                <w:sz w:val="18"/>
                <w:szCs w:val="18"/>
              </w:rPr>
              <w:t>《建筑工程计量与计价》</w:t>
            </w:r>
          </w:p>
          <w:p w14:paraId="7689A332">
            <w:pPr>
              <w:rPr>
                <w:sz w:val="18"/>
                <w:szCs w:val="18"/>
              </w:rPr>
            </w:pPr>
            <w:r>
              <w:rPr>
                <w:rFonts w:hint="eastAsia"/>
                <w:sz w:val="18"/>
                <w:szCs w:val="18"/>
              </w:rPr>
              <w:t>《安装工程计量与计价》</w:t>
            </w:r>
          </w:p>
          <w:p w14:paraId="1946BB4A">
            <w:pPr>
              <w:rPr>
                <w:sz w:val="18"/>
                <w:szCs w:val="18"/>
              </w:rPr>
            </w:pPr>
            <w:r>
              <w:rPr>
                <w:sz w:val="18"/>
                <w:szCs w:val="18"/>
              </w:rPr>
              <w:t>《招投标与合同管理》</w:t>
            </w:r>
          </w:p>
          <w:p w14:paraId="498BBEC1">
            <w:pPr>
              <w:rPr>
                <w:sz w:val="18"/>
                <w:szCs w:val="18"/>
              </w:rPr>
            </w:pPr>
            <w:r>
              <w:rPr>
                <w:rFonts w:hint="eastAsia"/>
                <w:sz w:val="18"/>
                <w:szCs w:val="18"/>
              </w:rPr>
              <w:t>《工程造价控制与管理》</w:t>
            </w:r>
          </w:p>
          <w:p w14:paraId="1121C6C9">
            <w:pPr>
              <w:rPr>
                <w:sz w:val="18"/>
                <w:szCs w:val="18"/>
              </w:rPr>
            </w:pPr>
            <w:r>
              <w:rPr>
                <w:sz w:val="18"/>
                <w:szCs w:val="18"/>
              </w:rPr>
              <w:t>《BIM概论与三维建模》</w:t>
            </w:r>
          </w:p>
          <w:p w14:paraId="57D3CA3C">
            <w:pPr>
              <w:rPr>
                <w:sz w:val="18"/>
                <w:szCs w:val="18"/>
              </w:rPr>
            </w:pPr>
          </w:p>
          <w:p w14:paraId="730248FE">
            <w:pPr>
              <w:rPr>
                <w:sz w:val="18"/>
                <w:szCs w:val="18"/>
              </w:rPr>
            </w:pPr>
          </w:p>
          <w:p w14:paraId="39B73960">
            <w:pPr>
              <w:jc w:val="center"/>
              <w:rPr>
                <w:sz w:val="18"/>
                <w:szCs w:val="18"/>
              </w:rPr>
            </w:pPr>
          </w:p>
          <w:p w14:paraId="4520F084">
            <w:pPr>
              <w:jc w:val="center"/>
              <w:rPr>
                <w:sz w:val="18"/>
                <w:szCs w:val="18"/>
              </w:rPr>
            </w:pPr>
          </w:p>
        </w:tc>
      </w:tr>
      <w:tr w14:paraId="7AC7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56" w:type="dxa"/>
            <w:vAlign w:val="center"/>
          </w:tcPr>
          <w:p w14:paraId="7548D24E">
            <w:pPr>
              <w:jc w:val="center"/>
              <w:rPr>
                <w:color w:val="auto"/>
                <w:spacing w:val="-4"/>
                <w:sz w:val="18"/>
                <w:szCs w:val="18"/>
              </w:rPr>
            </w:pPr>
            <w:r>
              <w:rPr>
                <w:rFonts w:hint="eastAsia"/>
                <w:color w:val="auto"/>
                <w:spacing w:val="-4"/>
                <w:sz w:val="18"/>
                <w:szCs w:val="18"/>
              </w:rPr>
              <w:t>工程量清单编制员</w:t>
            </w:r>
          </w:p>
        </w:tc>
        <w:tc>
          <w:tcPr>
            <w:tcW w:w="2332" w:type="dxa"/>
            <w:vAlign w:val="center"/>
          </w:tcPr>
          <w:p w14:paraId="05B8E8EF">
            <w:pPr>
              <w:numPr>
                <w:ilvl w:val="0"/>
                <w:numId w:val="4"/>
              </w:numPr>
              <w:jc w:val="left"/>
              <w:rPr>
                <w:spacing w:val="-4"/>
                <w:sz w:val="18"/>
                <w:szCs w:val="18"/>
              </w:rPr>
            </w:pPr>
            <w:r>
              <w:rPr>
                <w:rFonts w:hint="eastAsia"/>
                <w:spacing w:val="-4"/>
                <w:sz w:val="18"/>
                <w:szCs w:val="18"/>
              </w:rPr>
              <w:t>依据建设工程工程量清单计价规范、施工图纸等，编制工程量清单；</w:t>
            </w:r>
          </w:p>
          <w:p w14:paraId="21CCD033">
            <w:pPr>
              <w:numPr>
                <w:ilvl w:val="0"/>
                <w:numId w:val="4"/>
              </w:numPr>
              <w:jc w:val="left"/>
              <w:rPr>
                <w:spacing w:val="-4"/>
                <w:sz w:val="18"/>
                <w:szCs w:val="18"/>
              </w:rPr>
            </w:pPr>
            <w:r>
              <w:rPr>
                <w:rFonts w:hint="eastAsia"/>
                <w:spacing w:val="-4"/>
                <w:sz w:val="18"/>
                <w:szCs w:val="18"/>
              </w:rPr>
              <w:t>对工程量清单中的项目特征、工作内容进行准确描述；3. 审核工程量清单，确保清单的完整性、准确性；</w:t>
            </w:r>
          </w:p>
          <w:p w14:paraId="495BF0EB">
            <w:pPr>
              <w:numPr>
                <w:ilvl w:val="0"/>
                <w:numId w:val="2"/>
              </w:numPr>
              <w:jc w:val="left"/>
              <w:rPr>
                <w:spacing w:val="-4"/>
                <w:sz w:val="18"/>
                <w:szCs w:val="18"/>
              </w:rPr>
            </w:pPr>
            <w:r>
              <w:rPr>
                <w:rFonts w:hint="eastAsia"/>
                <w:spacing w:val="-4"/>
                <w:sz w:val="18"/>
                <w:szCs w:val="18"/>
              </w:rPr>
              <w:t>协助解答投标人对工程量清单提出的疑问</w:t>
            </w:r>
          </w:p>
        </w:tc>
        <w:tc>
          <w:tcPr>
            <w:tcW w:w="2340" w:type="dxa"/>
          </w:tcPr>
          <w:p w14:paraId="673650A5">
            <w:pPr>
              <w:numPr>
                <w:ilvl w:val="0"/>
                <w:numId w:val="5"/>
              </w:numPr>
              <w:jc w:val="left"/>
              <w:rPr>
                <w:spacing w:val="-4"/>
                <w:sz w:val="18"/>
                <w:szCs w:val="18"/>
              </w:rPr>
            </w:pPr>
            <w:r>
              <w:rPr>
                <w:rFonts w:hint="eastAsia"/>
                <w:spacing w:val="-4"/>
                <w:sz w:val="18"/>
                <w:szCs w:val="18"/>
              </w:rPr>
              <w:t>深入理解工程量清单计价规范及相关法律法规；</w:t>
            </w:r>
          </w:p>
          <w:p w14:paraId="29C0ABA6">
            <w:pPr>
              <w:numPr>
                <w:ilvl w:val="0"/>
                <w:numId w:val="5"/>
              </w:numPr>
              <w:jc w:val="left"/>
              <w:rPr>
                <w:spacing w:val="-4"/>
                <w:sz w:val="18"/>
                <w:szCs w:val="18"/>
              </w:rPr>
            </w:pPr>
            <w:r>
              <w:rPr>
                <w:rFonts w:hint="eastAsia"/>
                <w:spacing w:val="-4"/>
                <w:sz w:val="18"/>
                <w:szCs w:val="18"/>
              </w:rPr>
              <w:t>精准识读施工图纸，准确计算工程量；</w:t>
            </w:r>
          </w:p>
          <w:p w14:paraId="5F85D3BF">
            <w:pPr>
              <w:numPr>
                <w:ilvl w:val="0"/>
                <w:numId w:val="5"/>
              </w:numPr>
              <w:jc w:val="left"/>
              <w:rPr>
                <w:spacing w:val="-4"/>
                <w:sz w:val="18"/>
                <w:szCs w:val="18"/>
              </w:rPr>
            </w:pPr>
            <w:r>
              <w:rPr>
                <w:rFonts w:hint="eastAsia"/>
                <w:spacing w:val="-4"/>
                <w:sz w:val="18"/>
                <w:szCs w:val="18"/>
              </w:rPr>
              <w:t>具备较强的文字表达能力，能清晰描述项目特征；4. 严谨细致，具备较强的审核校对能力；</w:t>
            </w:r>
          </w:p>
          <w:p w14:paraId="2C193B6D">
            <w:pPr>
              <w:jc w:val="left"/>
              <w:rPr>
                <w:spacing w:val="-4"/>
                <w:sz w:val="18"/>
                <w:szCs w:val="18"/>
              </w:rPr>
            </w:pPr>
            <w:r>
              <w:rPr>
                <w:rFonts w:hint="eastAsia"/>
                <w:spacing w:val="-4"/>
                <w:sz w:val="18"/>
                <w:szCs w:val="18"/>
              </w:rPr>
              <w:t>5. 良好的沟通能力，与各方有效交流</w:t>
            </w:r>
          </w:p>
        </w:tc>
        <w:tc>
          <w:tcPr>
            <w:tcW w:w="2590" w:type="dxa"/>
          </w:tcPr>
          <w:p w14:paraId="5F0993CC">
            <w:pPr>
              <w:rPr>
                <w:sz w:val="18"/>
                <w:szCs w:val="18"/>
              </w:rPr>
            </w:pPr>
            <w:r>
              <w:rPr>
                <w:rFonts w:hint="eastAsia"/>
                <w:sz w:val="18"/>
                <w:szCs w:val="18"/>
              </w:rPr>
              <w:t>《建筑工程计量与计价》</w:t>
            </w:r>
          </w:p>
          <w:p w14:paraId="0D77D2BA">
            <w:pPr>
              <w:rPr>
                <w:sz w:val="18"/>
                <w:szCs w:val="18"/>
              </w:rPr>
            </w:pPr>
            <w:r>
              <w:rPr>
                <w:rFonts w:hint="eastAsia"/>
                <w:sz w:val="18"/>
                <w:szCs w:val="18"/>
              </w:rPr>
              <w:t>《安装工程计量与计价》</w:t>
            </w:r>
          </w:p>
          <w:p w14:paraId="48DBE656">
            <w:pPr>
              <w:rPr>
                <w:sz w:val="18"/>
                <w:szCs w:val="18"/>
              </w:rPr>
            </w:pPr>
            <w:r>
              <w:rPr>
                <w:rFonts w:hint="eastAsia"/>
                <w:sz w:val="18"/>
                <w:szCs w:val="18"/>
              </w:rPr>
              <w:t>《工程造价及算量软件实训》</w:t>
            </w:r>
          </w:p>
          <w:p w14:paraId="372056FF">
            <w:pPr>
              <w:rPr>
                <w:sz w:val="18"/>
                <w:szCs w:val="18"/>
              </w:rPr>
            </w:pPr>
            <w:r>
              <w:rPr>
                <w:sz w:val="18"/>
                <w:szCs w:val="18"/>
              </w:rPr>
              <w:t>《BIM概论与三维建模》</w:t>
            </w:r>
          </w:p>
          <w:p w14:paraId="6EB641BC">
            <w:pPr>
              <w:rPr>
                <w:sz w:val="18"/>
                <w:szCs w:val="18"/>
              </w:rPr>
            </w:pPr>
            <w:r>
              <w:rPr>
                <w:rFonts w:hint="eastAsia"/>
                <w:sz w:val="18"/>
                <w:szCs w:val="18"/>
              </w:rPr>
              <w:t>《建设工程定额原理与实务》</w:t>
            </w:r>
          </w:p>
          <w:p w14:paraId="6104C5FA">
            <w:pPr>
              <w:rPr>
                <w:sz w:val="18"/>
                <w:szCs w:val="18"/>
              </w:rPr>
            </w:pPr>
          </w:p>
          <w:p w14:paraId="0F2BEB41">
            <w:pPr>
              <w:rPr>
                <w:sz w:val="18"/>
                <w:szCs w:val="18"/>
              </w:rPr>
            </w:pPr>
          </w:p>
          <w:p w14:paraId="22ECD184">
            <w:pPr>
              <w:rPr>
                <w:sz w:val="18"/>
                <w:szCs w:val="18"/>
              </w:rPr>
            </w:pPr>
          </w:p>
          <w:p w14:paraId="722E7191">
            <w:pPr>
              <w:jc w:val="center"/>
              <w:rPr>
                <w:sz w:val="18"/>
                <w:szCs w:val="18"/>
              </w:rPr>
            </w:pPr>
          </w:p>
        </w:tc>
      </w:tr>
      <w:tr w14:paraId="0E73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56" w:type="dxa"/>
            <w:vAlign w:val="center"/>
          </w:tcPr>
          <w:p w14:paraId="5CFE37E7">
            <w:pPr>
              <w:jc w:val="center"/>
              <w:rPr>
                <w:color w:val="auto"/>
                <w:spacing w:val="-4"/>
                <w:sz w:val="18"/>
                <w:szCs w:val="18"/>
              </w:rPr>
            </w:pPr>
            <w:r>
              <w:rPr>
                <w:rFonts w:hint="eastAsia"/>
                <w:color w:val="auto"/>
                <w:spacing w:val="-4"/>
                <w:sz w:val="18"/>
                <w:szCs w:val="18"/>
              </w:rPr>
              <w:t>工程造价控制工程师</w:t>
            </w:r>
          </w:p>
          <w:p w14:paraId="1FB36E90">
            <w:pPr>
              <w:jc w:val="center"/>
              <w:rPr>
                <w:color w:val="auto"/>
                <w:spacing w:val="-4"/>
                <w:sz w:val="18"/>
                <w:szCs w:val="18"/>
              </w:rPr>
            </w:pPr>
          </w:p>
        </w:tc>
        <w:tc>
          <w:tcPr>
            <w:tcW w:w="2332" w:type="dxa"/>
            <w:vAlign w:val="center"/>
          </w:tcPr>
          <w:p w14:paraId="41A55564">
            <w:pPr>
              <w:numPr>
                <w:ilvl w:val="0"/>
                <w:numId w:val="6"/>
              </w:numPr>
              <w:rPr>
                <w:spacing w:val="-4"/>
                <w:sz w:val="18"/>
                <w:szCs w:val="18"/>
              </w:rPr>
            </w:pPr>
            <w:r>
              <w:rPr>
                <w:rFonts w:hint="eastAsia"/>
                <w:spacing w:val="-4"/>
                <w:sz w:val="18"/>
                <w:szCs w:val="18"/>
              </w:rPr>
              <w:t>制定工程造价控制目标和计划，确定各阶段造价控制要点；</w:t>
            </w:r>
          </w:p>
          <w:p w14:paraId="7EC9B750">
            <w:pPr>
              <w:numPr>
                <w:ilvl w:val="0"/>
                <w:numId w:val="6"/>
              </w:numPr>
              <w:rPr>
                <w:spacing w:val="-4"/>
                <w:sz w:val="18"/>
                <w:szCs w:val="18"/>
              </w:rPr>
            </w:pPr>
            <w:r>
              <w:rPr>
                <w:rFonts w:hint="eastAsia"/>
                <w:spacing w:val="-4"/>
                <w:sz w:val="18"/>
                <w:szCs w:val="18"/>
              </w:rPr>
              <w:t>对工程设计方案进行经济比选，提出优化建议，控制设计概算；</w:t>
            </w:r>
          </w:p>
          <w:p w14:paraId="1B8A7E09">
            <w:pPr>
              <w:rPr>
                <w:spacing w:val="-4"/>
                <w:sz w:val="18"/>
                <w:szCs w:val="18"/>
              </w:rPr>
            </w:pPr>
            <w:r>
              <w:rPr>
                <w:rFonts w:hint="eastAsia"/>
                <w:spacing w:val="-4"/>
                <w:sz w:val="18"/>
                <w:szCs w:val="18"/>
              </w:rPr>
              <w:t>3. 参与工程变更管理，审核工程变更引起的造价增减；4. 定期对工程造价进行动态分析，预测造价变化趋势，采取纠偏措施</w:t>
            </w:r>
          </w:p>
          <w:p w14:paraId="2B11F06B">
            <w:pPr>
              <w:rPr>
                <w:spacing w:val="-4"/>
                <w:sz w:val="18"/>
                <w:szCs w:val="18"/>
              </w:rPr>
            </w:pPr>
          </w:p>
        </w:tc>
        <w:tc>
          <w:tcPr>
            <w:tcW w:w="2340" w:type="dxa"/>
          </w:tcPr>
          <w:p w14:paraId="6A4107D8">
            <w:pPr>
              <w:numPr>
                <w:ilvl w:val="0"/>
                <w:numId w:val="7"/>
              </w:numPr>
              <w:jc w:val="left"/>
              <w:rPr>
                <w:sz w:val="18"/>
                <w:szCs w:val="18"/>
              </w:rPr>
            </w:pPr>
            <w:r>
              <w:rPr>
                <w:sz w:val="18"/>
                <w:szCs w:val="18"/>
              </w:rPr>
              <w:t>熟悉工程建设全过程造价管理理论与方法；</w:t>
            </w:r>
          </w:p>
          <w:p w14:paraId="5BD6D48A">
            <w:pPr>
              <w:numPr>
                <w:ilvl w:val="0"/>
                <w:numId w:val="7"/>
              </w:numPr>
              <w:jc w:val="left"/>
              <w:rPr>
                <w:sz w:val="18"/>
                <w:szCs w:val="18"/>
              </w:rPr>
            </w:pPr>
            <w:r>
              <w:rPr>
                <w:sz w:val="18"/>
                <w:szCs w:val="18"/>
              </w:rPr>
              <w:t>具备工程技术、经济、管理等多方面知识；</w:t>
            </w:r>
          </w:p>
          <w:p w14:paraId="5BA4A1A0">
            <w:pPr>
              <w:numPr>
                <w:ilvl w:val="0"/>
                <w:numId w:val="7"/>
              </w:numPr>
              <w:jc w:val="left"/>
              <w:rPr>
                <w:sz w:val="18"/>
                <w:szCs w:val="18"/>
              </w:rPr>
            </w:pPr>
            <w:r>
              <w:rPr>
                <w:sz w:val="18"/>
                <w:szCs w:val="18"/>
              </w:rPr>
              <w:t>掌握价值工程、成本效益分析等方法；</w:t>
            </w:r>
          </w:p>
          <w:p w14:paraId="55D95BC1">
            <w:pPr>
              <w:numPr>
                <w:ilvl w:val="0"/>
                <w:numId w:val="7"/>
              </w:numPr>
              <w:jc w:val="left"/>
              <w:rPr>
                <w:sz w:val="18"/>
                <w:szCs w:val="18"/>
              </w:rPr>
            </w:pPr>
            <w:r>
              <w:rPr>
                <w:sz w:val="18"/>
                <w:szCs w:val="18"/>
              </w:rPr>
              <w:t>具有较强的数据分析和预测能力；</w:t>
            </w:r>
          </w:p>
          <w:p w14:paraId="0EA1D2C8">
            <w:pPr>
              <w:jc w:val="left"/>
              <w:rPr>
                <w:sz w:val="18"/>
                <w:szCs w:val="18"/>
              </w:rPr>
            </w:pPr>
            <w:r>
              <w:rPr>
                <w:sz w:val="18"/>
                <w:szCs w:val="18"/>
              </w:rPr>
              <w:t>5. 良好的决策能力和协调能力</w:t>
            </w:r>
          </w:p>
        </w:tc>
        <w:tc>
          <w:tcPr>
            <w:tcW w:w="2590" w:type="dxa"/>
          </w:tcPr>
          <w:p w14:paraId="71200A0F">
            <w:pPr>
              <w:rPr>
                <w:sz w:val="18"/>
                <w:szCs w:val="18"/>
              </w:rPr>
            </w:pPr>
            <w:r>
              <w:rPr>
                <w:rFonts w:hint="eastAsia"/>
                <w:sz w:val="18"/>
                <w:szCs w:val="18"/>
              </w:rPr>
              <w:t>《工程造价控制与管理》</w:t>
            </w:r>
          </w:p>
          <w:p w14:paraId="752EE59F">
            <w:pPr>
              <w:rPr>
                <w:sz w:val="18"/>
                <w:szCs w:val="18"/>
              </w:rPr>
            </w:pPr>
            <w:r>
              <w:rPr>
                <w:sz w:val="18"/>
                <w:szCs w:val="18"/>
              </w:rPr>
              <w:t>《招投标与合同管理》</w:t>
            </w:r>
          </w:p>
          <w:p w14:paraId="232BEE7D">
            <w:pPr>
              <w:rPr>
                <w:sz w:val="18"/>
                <w:szCs w:val="18"/>
              </w:rPr>
            </w:pPr>
            <w:r>
              <w:rPr>
                <w:sz w:val="18"/>
                <w:szCs w:val="18"/>
              </w:rPr>
              <w:t>《BIM概论与三维建模》</w:t>
            </w:r>
          </w:p>
          <w:p w14:paraId="6768F046">
            <w:pPr>
              <w:rPr>
                <w:sz w:val="18"/>
                <w:szCs w:val="18"/>
              </w:rPr>
            </w:pPr>
            <w:r>
              <w:rPr>
                <w:rFonts w:hint="eastAsia"/>
                <w:sz w:val="18"/>
                <w:szCs w:val="18"/>
              </w:rPr>
              <w:t>《工程造价及算量软件实训》</w:t>
            </w:r>
          </w:p>
          <w:p w14:paraId="3FD6967B">
            <w:pPr>
              <w:rPr>
                <w:sz w:val="18"/>
                <w:szCs w:val="18"/>
              </w:rPr>
            </w:pPr>
            <w:r>
              <w:rPr>
                <w:sz w:val="18"/>
                <w:szCs w:val="18"/>
              </w:rPr>
              <w:t>《建筑工程经济》</w:t>
            </w:r>
          </w:p>
          <w:p w14:paraId="2657B97D">
            <w:pPr>
              <w:rPr>
                <w:sz w:val="18"/>
                <w:szCs w:val="18"/>
              </w:rPr>
            </w:pPr>
          </w:p>
        </w:tc>
      </w:tr>
      <w:tr w14:paraId="65A2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56" w:type="dxa"/>
            <w:vAlign w:val="center"/>
          </w:tcPr>
          <w:p w14:paraId="066E611D">
            <w:pPr>
              <w:jc w:val="center"/>
              <w:rPr>
                <w:color w:val="auto"/>
                <w:spacing w:val="-4"/>
                <w:sz w:val="18"/>
                <w:szCs w:val="18"/>
              </w:rPr>
            </w:pPr>
            <w:r>
              <w:rPr>
                <w:rFonts w:hint="eastAsia"/>
                <w:color w:val="auto"/>
                <w:spacing w:val="-4"/>
                <w:sz w:val="18"/>
                <w:szCs w:val="18"/>
              </w:rPr>
              <w:t>成本管理专员</w:t>
            </w:r>
          </w:p>
          <w:p w14:paraId="539048EF">
            <w:pPr>
              <w:jc w:val="center"/>
              <w:rPr>
                <w:color w:val="auto"/>
                <w:spacing w:val="-4"/>
                <w:sz w:val="18"/>
                <w:szCs w:val="18"/>
              </w:rPr>
            </w:pPr>
          </w:p>
        </w:tc>
        <w:tc>
          <w:tcPr>
            <w:tcW w:w="2332" w:type="dxa"/>
            <w:vAlign w:val="center"/>
          </w:tcPr>
          <w:p w14:paraId="614AE9E4">
            <w:pPr>
              <w:numPr>
                <w:ilvl w:val="0"/>
                <w:numId w:val="8"/>
              </w:numPr>
              <w:rPr>
                <w:spacing w:val="-4"/>
                <w:sz w:val="18"/>
                <w:szCs w:val="18"/>
              </w:rPr>
            </w:pPr>
            <w:r>
              <w:rPr>
                <w:rFonts w:hint="eastAsia"/>
                <w:spacing w:val="-4"/>
                <w:sz w:val="18"/>
                <w:szCs w:val="18"/>
              </w:rPr>
              <w:t>建立和完善成本管理体系，制定成本管理制度和流程；</w:t>
            </w:r>
          </w:p>
          <w:p w14:paraId="11FBAD57">
            <w:pPr>
              <w:numPr>
                <w:ilvl w:val="0"/>
                <w:numId w:val="8"/>
              </w:numPr>
              <w:rPr>
                <w:spacing w:val="-4"/>
                <w:sz w:val="18"/>
                <w:szCs w:val="18"/>
              </w:rPr>
            </w:pPr>
            <w:r>
              <w:rPr>
                <w:rFonts w:hint="eastAsia"/>
                <w:spacing w:val="-4"/>
                <w:sz w:val="18"/>
                <w:szCs w:val="18"/>
              </w:rPr>
              <w:t>对工程项目成本进行预测、计划、核算、分析和考核；</w:t>
            </w:r>
          </w:p>
          <w:p w14:paraId="7F35B074">
            <w:pPr>
              <w:numPr>
                <w:ilvl w:val="0"/>
                <w:numId w:val="8"/>
              </w:numPr>
              <w:rPr>
                <w:spacing w:val="-4"/>
                <w:sz w:val="18"/>
                <w:szCs w:val="18"/>
              </w:rPr>
            </w:pPr>
            <w:r>
              <w:rPr>
                <w:rFonts w:hint="eastAsia"/>
                <w:spacing w:val="-4"/>
                <w:sz w:val="18"/>
                <w:szCs w:val="18"/>
              </w:rPr>
              <w:t>收集、整理成本数据，建立成本数据库，为成本管理提供数据支持；</w:t>
            </w:r>
          </w:p>
          <w:p w14:paraId="49BF47C7">
            <w:pPr>
              <w:rPr>
                <w:spacing w:val="-4"/>
                <w:sz w:val="18"/>
                <w:szCs w:val="18"/>
              </w:rPr>
            </w:pPr>
            <w:r>
              <w:rPr>
                <w:rFonts w:hint="eastAsia"/>
                <w:spacing w:val="-4"/>
                <w:sz w:val="18"/>
                <w:szCs w:val="18"/>
              </w:rPr>
              <w:t>4. 分析成本偏差原因，提出成本控制改进措施</w:t>
            </w:r>
          </w:p>
          <w:p w14:paraId="4A317E06">
            <w:pPr>
              <w:rPr>
                <w:spacing w:val="-4"/>
                <w:sz w:val="18"/>
                <w:szCs w:val="18"/>
              </w:rPr>
            </w:pPr>
          </w:p>
        </w:tc>
        <w:tc>
          <w:tcPr>
            <w:tcW w:w="2340" w:type="dxa"/>
          </w:tcPr>
          <w:p w14:paraId="67BC9920">
            <w:pPr>
              <w:numPr>
                <w:ilvl w:val="0"/>
                <w:numId w:val="9"/>
              </w:numPr>
              <w:jc w:val="left"/>
              <w:rPr>
                <w:sz w:val="18"/>
                <w:szCs w:val="18"/>
              </w:rPr>
            </w:pPr>
            <w:r>
              <w:rPr>
                <w:sz w:val="18"/>
                <w:szCs w:val="18"/>
              </w:rPr>
              <w:t>熟悉成本管理理论和方法，了解企业成本构成；</w:t>
            </w:r>
          </w:p>
          <w:p w14:paraId="494B3E83">
            <w:pPr>
              <w:numPr>
                <w:ilvl w:val="0"/>
                <w:numId w:val="9"/>
              </w:numPr>
              <w:jc w:val="left"/>
              <w:rPr>
                <w:sz w:val="18"/>
                <w:szCs w:val="18"/>
              </w:rPr>
            </w:pPr>
            <w:r>
              <w:rPr>
                <w:sz w:val="18"/>
                <w:szCs w:val="18"/>
              </w:rPr>
              <w:t>具备较强的数据分析和处理能力；</w:t>
            </w:r>
          </w:p>
          <w:p w14:paraId="66A9F1EB">
            <w:pPr>
              <w:numPr>
                <w:ilvl w:val="0"/>
                <w:numId w:val="9"/>
              </w:numPr>
              <w:jc w:val="left"/>
              <w:rPr>
                <w:sz w:val="18"/>
                <w:szCs w:val="18"/>
              </w:rPr>
            </w:pPr>
            <w:r>
              <w:rPr>
                <w:sz w:val="18"/>
                <w:szCs w:val="18"/>
              </w:rPr>
              <w:t>能熟练使用成本管理软件和办公软件；</w:t>
            </w:r>
          </w:p>
          <w:p w14:paraId="20B2A568">
            <w:pPr>
              <w:numPr>
                <w:ilvl w:val="0"/>
                <w:numId w:val="9"/>
              </w:numPr>
              <w:jc w:val="left"/>
              <w:rPr>
                <w:sz w:val="18"/>
                <w:szCs w:val="18"/>
              </w:rPr>
            </w:pPr>
            <w:r>
              <w:rPr>
                <w:sz w:val="18"/>
                <w:szCs w:val="18"/>
              </w:rPr>
              <w:t>良好的组织协调能力，推动成本管理措施落地；</w:t>
            </w:r>
          </w:p>
          <w:p w14:paraId="008042E1">
            <w:pPr>
              <w:jc w:val="left"/>
              <w:rPr>
                <w:sz w:val="18"/>
                <w:szCs w:val="18"/>
              </w:rPr>
            </w:pPr>
            <w:r>
              <w:rPr>
                <w:sz w:val="18"/>
                <w:szCs w:val="18"/>
              </w:rPr>
              <w:t>5. 善于总结归纳，能提出有效改进建议</w:t>
            </w:r>
          </w:p>
          <w:p w14:paraId="539258C6">
            <w:pPr>
              <w:jc w:val="left"/>
              <w:rPr>
                <w:sz w:val="18"/>
                <w:szCs w:val="18"/>
              </w:rPr>
            </w:pPr>
          </w:p>
        </w:tc>
        <w:tc>
          <w:tcPr>
            <w:tcW w:w="2590" w:type="dxa"/>
          </w:tcPr>
          <w:p w14:paraId="3064961F">
            <w:pPr>
              <w:rPr>
                <w:sz w:val="18"/>
                <w:szCs w:val="18"/>
              </w:rPr>
            </w:pPr>
            <w:r>
              <w:rPr>
                <w:rFonts w:hint="eastAsia"/>
                <w:sz w:val="18"/>
                <w:szCs w:val="18"/>
              </w:rPr>
              <w:t>《工程造价控制与管理》</w:t>
            </w:r>
          </w:p>
          <w:p w14:paraId="1DE001AC">
            <w:pPr>
              <w:rPr>
                <w:sz w:val="18"/>
                <w:szCs w:val="18"/>
              </w:rPr>
            </w:pPr>
            <w:r>
              <w:rPr>
                <w:rFonts w:hint="eastAsia"/>
                <w:sz w:val="18"/>
                <w:szCs w:val="18"/>
              </w:rPr>
              <w:t>《工程造价及算量软件实训》</w:t>
            </w:r>
          </w:p>
          <w:p w14:paraId="35ACF83B">
            <w:pPr>
              <w:rPr>
                <w:sz w:val="18"/>
                <w:szCs w:val="18"/>
              </w:rPr>
            </w:pPr>
            <w:r>
              <w:rPr>
                <w:sz w:val="18"/>
                <w:szCs w:val="18"/>
              </w:rPr>
              <w:t>《建筑工程经济》</w:t>
            </w:r>
          </w:p>
          <w:p w14:paraId="47BBB39E">
            <w:pPr>
              <w:rPr>
                <w:sz w:val="18"/>
                <w:szCs w:val="18"/>
              </w:rPr>
            </w:pPr>
            <w:r>
              <w:rPr>
                <w:sz w:val="18"/>
                <w:szCs w:val="18"/>
              </w:rPr>
              <w:t>《BIM概论与三维建模》</w:t>
            </w:r>
          </w:p>
          <w:p w14:paraId="06E6997B">
            <w:pPr>
              <w:rPr>
                <w:sz w:val="18"/>
                <w:szCs w:val="18"/>
              </w:rPr>
            </w:pPr>
            <w:r>
              <w:rPr>
                <w:sz w:val="18"/>
                <w:szCs w:val="18"/>
              </w:rPr>
              <w:t>《</w:t>
            </w:r>
            <w:r>
              <w:rPr>
                <w:rFonts w:hint="eastAsia"/>
                <w:sz w:val="18"/>
                <w:szCs w:val="18"/>
              </w:rPr>
              <w:t>工程成本会计学</w:t>
            </w:r>
            <w:r>
              <w:rPr>
                <w:sz w:val="18"/>
                <w:szCs w:val="18"/>
              </w:rPr>
              <w:t>》</w:t>
            </w:r>
          </w:p>
          <w:p w14:paraId="579AB86F">
            <w:pPr>
              <w:rPr>
                <w:sz w:val="18"/>
                <w:szCs w:val="18"/>
              </w:rPr>
            </w:pPr>
          </w:p>
        </w:tc>
      </w:tr>
      <w:tr w14:paraId="16DD0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56" w:type="dxa"/>
            <w:vAlign w:val="center"/>
          </w:tcPr>
          <w:p w14:paraId="1ECBA935">
            <w:pPr>
              <w:jc w:val="center"/>
              <w:rPr>
                <w:color w:val="auto"/>
                <w:spacing w:val="-4"/>
                <w:sz w:val="18"/>
                <w:szCs w:val="18"/>
              </w:rPr>
            </w:pPr>
            <w:r>
              <w:rPr>
                <w:rFonts w:hint="eastAsia"/>
                <w:color w:val="auto"/>
                <w:spacing w:val="-4"/>
                <w:sz w:val="18"/>
                <w:szCs w:val="18"/>
              </w:rPr>
              <w:t>工程结算审核员</w:t>
            </w:r>
          </w:p>
        </w:tc>
        <w:tc>
          <w:tcPr>
            <w:tcW w:w="2332" w:type="dxa"/>
            <w:vAlign w:val="center"/>
          </w:tcPr>
          <w:p w14:paraId="06272ADA">
            <w:pPr>
              <w:numPr>
                <w:ilvl w:val="0"/>
                <w:numId w:val="10"/>
              </w:numPr>
              <w:rPr>
                <w:spacing w:val="-4"/>
                <w:sz w:val="18"/>
                <w:szCs w:val="18"/>
              </w:rPr>
            </w:pPr>
            <w:r>
              <w:rPr>
                <w:rFonts w:hint="eastAsia"/>
                <w:spacing w:val="-4"/>
                <w:sz w:val="18"/>
                <w:szCs w:val="18"/>
              </w:rPr>
              <w:t>收集工程结算资料，包括施工合同、竣工图纸、工程变更签证等；</w:t>
            </w:r>
          </w:p>
          <w:p w14:paraId="27A3A372">
            <w:pPr>
              <w:numPr>
                <w:ilvl w:val="0"/>
                <w:numId w:val="10"/>
              </w:numPr>
              <w:rPr>
                <w:spacing w:val="-4"/>
                <w:sz w:val="18"/>
                <w:szCs w:val="18"/>
              </w:rPr>
            </w:pPr>
            <w:r>
              <w:rPr>
                <w:rFonts w:hint="eastAsia"/>
                <w:spacing w:val="-4"/>
                <w:sz w:val="18"/>
                <w:szCs w:val="18"/>
              </w:rPr>
              <w:t>审核工程量计算是否准确，套用定额和取费标准是否合理；</w:t>
            </w:r>
          </w:p>
          <w:p w14:paraId="4BC2135F">
            <w:pPr>
              <w:rPr>
                <w:spacing w:val="-4"/>
                <w:sz w:val="18"/>
                <w:szCs w:val="18"/>
              </w:rPr>
            </w:pPr>
            <w:r>
              <w:rPr>
                <w:rFonts w:hint="eastAsia"/>
                <w:spacing w:val="-4"/>
                <w:sz w:val="18"/>
                <w:szCs w:val="18"/>
              </w:rPr>
              <w:t>3. 审查工程价款支付情况，核对已付款项和应付款项；4. 编制工程结算审核报告，对审核结果进行说明和分析</w:t>
            </w:r>
          </w:p>
        </w:tc>
        <w:tc>
          <w:tcPr>
            <w:tcW w:w="2340" w:type="dxa"/>
          </w:tcPr>
          <w:p w14:paraId="6F6DFDDF">
            <w:pPr>
              <w:jc w:val="left"/>
              <w:rPr>
                <w:sz w:val="18"/>
                <w:szCs w:val="18"/>
              </w:rPr>
            </w:pPr>
            <w:r>
              <w:rPr>
                <w:sz w:val="18"/>
                <w:szCs w:val="18"/>
              </w:rPr>
              <w:t>1. 精通施工合同条款、工程计价规范及相关法律法规；2. 熟练掌握工程量计算规则和定额应用；</w:t>
            </w:r>
          </w:p>
          <w:p w14:paraId="69B15676">
            <w:pPr>
              <w:jc w:val="left"/>
              <w:rPr>
                <w:sz w:val="18"/>
                <w:szCs w:val="18"/>
              </w:rPr>
            </w:pPr>
            <w:r>
              <w:rPr>
                <w:sz w:val="18"/>
                <w:szCs w:val="18"/>
              </w:rPr>
              <w:t>3. 具备较强的审核能力和风险识别能力；</w:t>
            </w:r>
          </w:p>
          <w:p w14:paraId="534ECFD9">
            <w:pPr>
              <w:jc w:val="left"/>
              <w:rPr>
                <w:sz w:val="18"/>
                <w:szCs w:val="18"/>
              </w:rPr>
            </w:pPr>
            <w:r>
              <w:rPr>
                <w:sz w:val="18"/>
                <w:szCs w:val="18"/>
              </w:rPr>
              <w:t>4. 严谨细致，注重细节；</w:t>
            </w:r>
          </w:p>
          <w:p w14:paraId="11888FA7">
            <w:pPr>
              <w:jc w:val="left"/>
              <w:rPr>
                <w:sz w:val="18"/>
                <w:szCs w:val="18"/>
              </w:rPr>
            </w:pPr>
            <w:r>
              <w:rPr>
                <w:sz w:val="18"/>
                <w:szCs w:val="18"/>
              </w:rPr>
              <w:t>5. 良好的文字撰写能力，能出具专业报告</w:t>
            </w:r>
          </w:p>
        </w:tc>
        <w:tc>
          <w:tcPr>
            <w:tcW w:w="2590" w:type="dxa"/>
          </w:tcPr>
          <w:p w14:paraId="3EFBA8A6">
            <w:pPr>
              <w:rPr>
                <w:sz w:val="18"/>
                <w:szCs w:val="18"/>
              </w:rPr>
            </w:pPr>
            <w:r>
              <w:rPr>
                <w:rFonts w:hint="eastAsia"/>
                <w:sz w:val="18"/>
                <w:szCs w:val="18"/>
              </w:rPr>
              <w:t>《工程造价控制与管理》</w:t>
            </w:r>
          </w:p>
          <w:p w14:paraId="5781BDDF">
            <w:pPr>
              <w:rPr>
                <w:sz w:val="18"/>
                <w:szCs w:val="18"/>
              </w:rPr>
            </w:pPr>
            <w:r>
              <w:rPr>
                <w:sz w:val="18"/>
                <w:szCs w:val="18"/>
              </w:rPr>
              <w:t>《招投标与合同管理》</w:t>
            </w:r>
          </w:p>
          <w:p w14:paraId="275DFE7D">
            <w:pPr>
              <w:rPr>
                <w:sz w:val="18"/>
                <w:szCs w:val="18"/>
              </w:rPr>
            </w:pPr>
            <w:r>
              <w:rPr>
                <w:rFonts w:hint="eastAsia"/>
                <w:sz w:val="18"/>
                <w:szCs w:val="18"/>
              </w:rPr>
              <w:t>《</w:t>
            </w:r>
            <w:r>
              <w:rPr>
                <w:sz w:val="18"/>
                <w:szCs w:val="18"/>
              </w:rPr>
              <w:t>工程结算与审计</w:t>
            </w:r>
            <w:r>
              <w:rPr>
                <w:rFonts w:hint="eastAsia"/>
                <w:sz w:val="18"/>
                <w:szCs w:val="18"/>
              </w:rPr>
              <w:t>》</w:t>
            </w:r>
          </w:p>
          <w:p w14:paraId="5BF8B928">
            <w:pPr>
              <w:rPr>
                <w:sz w:val="18"/>
                <w:szCs w:val="18"/>
              </w:rPr>
            </w:pPr>
            <w:r>
              <w:rPr>
                <w:rFonts w:hint="eastAsia"/>
                <w:sz w:val="18"/>
                <w:szCs w:val="18"/>
              </w:rPr>
              <w:t>《建筑工程计量与计价》</w:t>
            </w:r>
          </w:p>
          <w:p w14:paraId="6FE412C3">
            <w:pPr>
              <w:rPr>
                <w:sz w:val="18"/>
                <w:szCs w:val="18"/>
              </w:rPr>
            </w:pPr>
            <w:r>
              <w:rPr>
                <w:rFonts w:hint="eastAsia"/>
                <w:sz w:val="18"/>
                <w:szCs w:val="18"/>
              </w:rPr>
              <w:t>《安装工程计量与计价》</w:t>
            </w:r>
          </w:p>
          <w:p w14:paraId="1BB0BDE0">
            <w:pPr>
              <w:rPr>
                <w:sz w:val="18"/>
                <w:szCs w:val="18"/>
              </w:rPr>
            </w:pPr>
            <w:r>
              <w:rPr>
                <w:rFonts w:hint="eastAsia"/>
                <w:sz w:val="18"/>
                <w:szCs w:val="18"/>
              </w:rPr>
              <w:t>《工程造价及算量软件实训》</w:t>
            </w:r>
          </w:p>
          <w:p w14:paraId="6670F7BD">
            <w:pPr>
              <w:rPr>
                <w:sz w:val="18"/>
                <w:szCs w:val="18"/>
              </w:rPr>
            </w:pPr>
          </w:p>
        </w:tc>
      </w:tr>
      <w:bookmarkEnd w:id="1"/>
    </w:tbl>
    <w:p w14:paraId="380DD89B">
      <w:pPr>
        <w:overflowPunct w:val="0"/>
        <w:adjustRightInd w:val="0"/>
        <w:rPr>
          <w:color w:val="FF0000"/>
          <w:sz w:val="16"/>
          <w:szCs w:val="18"/>
        </w:rPr>
      </w:pPr>
    </w:p>
    <w:p w14:paraId="063B8BA1">
      <w:pPr>
        <w:overflowPunct w:val="0"/>
        <w:adjustRightInd w:val="0"/>
        <w:ind w:firstLine="640" w:firstLineChars="200"/>
        <w:rPr>
          <w:rFonts w:eastAsia="黑体"/>
          <w:szCs w:val="32"/>
        </w:rPr>
      </w:pPr>
      <w:r>
        <w:rPr>
          <w:rFonts w:hint="eastAsia" w:eastAsia="黑体"/>
          <w:szCs w:val="32"/>
        </w:rPr>
        <w:t>五、培养目标及规格</w:t>
      </w:r>
    </w:p>
    <w:p w14:paraId="35684062">
      <w:pPr>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（一）培养目标</w:t>
      </w:r>
    </w:p>
    <w:p w14:paraId="7B7ABF79">
      <w:pPr>
        <w:ind w:firstLine="640" w:firstLineChars="200"/>
        <w:rPr>
          <w:rFonts w:ascii="仿宋_GB2312"/>
        </w:rPr>
      </w:pPr>
      <w:r>
        <w:rPr>
          <w:rFonts w:hint="eastAsia" w:ascii="仿宋_GB231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工程技术与设计服务行业的工程造价工程技术人员等职业，能够从事中小型建设项目工程量清单编制、工程计量、工程计价、项目招投标、合同价款结算等工作的高技能人才。</w:t>
      </w:r>
    </w:p>
    <w:p w14:paraId="2F1076ED">
      <w:pPr>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（二）培养规格</w:t>
      </w:r>
    </w:p>
    <w:p w14:paraId="05E8D18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559C8F9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6F781F0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4B3A684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 xml:space="preserve">(3)掌握支撑本专业学习和可持续发展必备的语文、数学、外语（英语等）、信息技术等文化基础知识，具有良好的人文素养与科学素养，具备职业生涯规划能力； </w:t>
      </w:r>
    </w:p>
    <w:p w14:paraId="4B5603D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(4)具有良好的语言表达能力、文字表达能力、沟通合作能力，具有较强的集体意识和团队合作意识，学习 1 门外语并结合本专业加以运用。</w:t>
      </w:r>
    </w:p>
    <w:p w14:paraId="1501BC2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(5)掌握建筑材料、房屋构造、建筑制图、建筑施工工艺等专业基础理论知识；</w:t>
      </w:r>
    </w:p>
    <w:p w14:paraId="5A5D03E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(6)掌握建筑 CAD、BIM 三维建模等专业基础理论知识；</w:t>
      </w:r>
    </w:p>
    <w:p w14:paraId="5B78749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(7)掌握建设工程定额编制原理、工程造价指标计算和分析等专业基础理论知识；</w:t>
      </w:r>
    </w:p>
    <w:p w14:paraId="2CFE252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(8)掌握建设工程计量、工程招投标等技术技能，具有编制工程量清单、进行项目交易和施工阶段工程计量的能力；</w:t>
      </w:r>
    </w:p>
    <w:p w14:paraId="1B12A54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(9)掌握建设工程计价、建设工程费用确定、招投标与报价等技术技能，具有编制概（预）算文件、招标控制价、投标报价等造价文件的能力；</w:t>
      </w:r>
    </w:p>
    <w:p w14:paraId="42E8449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 xml:space="preserve">(10)掌握工程经济、工程招投标、建设法律法规等知识，具有参与编制工程项目招标、投标文件，参与拟定建设工程施工合同条款的能力； </w:t>
      </w:r>
    </w:p>
    <w:p w14:paraId="3E80688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 xml:space="preserve">(11)掌握项目管理、工程造价控制与管理等知识，熟悉相关法律法规、政策文件，具有跟踪进行工程变更签证、价款结算及索赔管理的能力； </w:t>
      </w:r>
    </w:p>
    <w:p w14:paraId="56A78058">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lang w:val="en-US" w:eastAsia="zh-CN"/>
        </w:rPr>
      </w:pPr>
      <w:r>
        <w:rPr>
          <w:rFonts w:hint="eastAsia" w:ascii="仿宋_GB2312"/>
          <w:lang w:val="en-US" w:eastAsia="zh-CN"/>
        </w:rPr>
        <w:t>(12)掌握信息技术基础知识，具有适应本行业数字化和智能化发展需求的数字技能。</w:t>
      </w:r>
    </w:p>
    <w:p w14:paraId="0839A2B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(13)具有探究学习、终身学习和可持续发展的能力，具有整合知识和综合运用知识分析问题和解决问题的能力；</w:t>
      </w:r>
    </w:p>
    <w:p w14:paraId="6867A52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(14)掌握身体运动的基本知识和至少 1 项体育运动技能，达到国家大学生体质健康测试合格标准，养成良好的运动习惯、卫生习惯和行为习惯；具备一定的心理调适能力；</w:t>
      </w:r>
    </w:p>
    <w:p w14:paraId="2F9B413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(15)掌握必备的美育知识，具有一定的文化修养、审美能力，形成至少 1 项艺术特长或爱好；</w:t>
      </w:r>
    </w:p>
    <w:p w14:paraId="0216E93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(16)树立正确的劳动观，尊重劳动，热爱劳动，具备与本专业职业发展相适应的劳动素养，弘扬劳模精神、劳动精神、工匠精神，弘扬劳动光荣、技能宝贵、创造伟大的时代风尚。</w:t>
      </w:r>
    </w:p>
    <w:p w14:paraId="1B46FAE3">
      <w:pPr>
        <w:overflowPunct w:val="0"/>
        <w:adjustRightInd w:val="0"/>
        <w:ind w:firstLine="640" w:firstLineChars="200"/>
        <w:rPr>
          <w:rFonts w:eastAsia="黑体"/>
          <w:szCs w:val="32"/>
        </w:rPr>
      </w:pPr>
      <w:r>
        <w:rPr>
          <w:rFonts w:hint="eastAsia" w:eastAsia="黑体"/>
          <w:szCs w:val="32"/>
        </w:rPr>
        <w:t>六、课程设置及要求</w:t>
      </w:r>
    </w:p>
    <w:p w14:paraId="0D13A897">
      <w:pPr>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（一）公共基础课程</w:t>
      </w:r>
    </w:p>
    <w:p w14:paraId="46375F54">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共15门公共基础必修课程。</w:t>
      </w:r>
    </w:p>
    <w:p w14:paraId="5550F560">
      <w:pPr>
        <w:overflowPunct w:val="0"/>
        <w:adjustRightInd w:val="0"/>
        <w:ind w:firstLine="643" w:firstLineChars="200"/>
        <w:rPr>
          <w:rFonts w:ascii="仿宋_GB2312"/>
          <w:b/>
          <w:bCs/>
        </w:rPr>
      </w:pPr>
      <w:r>
        <w:rPr>
          <w:rFonts w:hint="eastAsia" w:ascii="仿宋_GB2312"/>
          <w:b/>
          <w:bCs/>
        </w:rPr>
        <w:t xml:space="preserve">1.公共必修课 </w:t>
      </w:r>
    </w:p>
    <w:p w14:paraId="1DE2583E">
      <w:pPr>
        <w:overflowPunct w:val="0"/>
        <w:adjustRightInd w:val="0"/>
        <w:ind w:firstLine="640" w:firstLineChars="200"/>
        <w:rPr>
          <w:rFonts w:ascii="仿宋_GB2312"/>
        </w:rPr>
      </w:pPr>
      <w:r>
        <w:rPr>
          <w:rFonts w:hint="eastAsia" w:ascii="仿宋_GB2312"/>
        </w:rPr>
        <w:t>（1）思想道德与法治(48学时、3学分)</w:t>
      </w:r>
    </w:p>
    <w:p w14:paraId="0F5FF960">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6FEE89D9">
      <w:pPr>
        <w:overflowPunct w:val="0"/>
        <w:adjustRightInd w:val="0"/>
        <w:ind w:firstLine="640" w:firstLineChars="200"/>
        <w:rPr>
          <w:rFonts w:ascii="仿宋_GB2312"/>
        </w:rPr>
      </w:pPr>
      <w:r>
        <w:rPr>
          <w:rFonts w:hint="eastAsia" w:ascii="仿宋_GB2312"/>
        </w:rPr>
        <w:t>（2）毛泽东思想和中国特色社会主义理论体系概论(32学时、2学分)</w:t>
      </w:r>
    </w:p>
    <w:p w14:paraId="2D2B4FF5">
      <w:pPr>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71A722DF">
      <w:pPr>
        <w:overflowPunct w:val="0"/>
        <w:adjustRightInd w:val="0"/>
        <w:ind w:firstLine="640" w:firstLineChars="200"/>
        <w:rPr>
          <w:rFonts w:ascii="仿宋_GB2312"/>
        </w:rPr>
      </w:pPr>
      <w:r>
        <w:rPr>
          <w:rFonts w:hint="eastAsia" w:ascii="仿宋_GB2312"/>
        </w:rPr>
        <w:t>（3）形势与政策(16学时、1学分)</w:t>
      </w:r>
    </w:p>
    <w:p w14:paraId="33F1C00C">
      <w:pPr>
        <w:overflowPunct w:val="0"/>
        <w:adjustRightInd w:val="0"/>
        <w:ind w:firstLine="640" w:firstLineChars="200"/>
        <w:rPr>
          <w:rFonts w:ascii="仿宋_GB2312"/>
        </w:rPr>
      </w:pPr>
      <w:r>
        <w:rPr>
          <w:rFonts w:hint="eastAsia" w:ascii="仿宋_GB2312"/>
        </w:rPr>
        <w:t>本课程主要讲授党的理论创新最新成果，党的路线方针政策、基本国情、国内外形势及热点难点问题，帮助学生深刻领会党和国家事业取得的历史性成就、面临的历史性机遇和挑战，引导大学生正确认识世界和中国发展大势，正确认识时代责任和历史使命的一门公共思想政治理论课。</w:t>
      </w:r>
    </w:p>
    <w:p w14:paraId="5C6149B9">
      <w:pPr>
        <w:overflowPunct w:val="0"/>
        <w:adjustRightInd w:val="0"/>
        <w:ind w:firstLine="640" w:firstLineChars="200"/>
        <w:rPr>
          <w:rFonts w:ascii="仿宋_GB2312"/>
        </w:rPr>
      </w:pPr>
      <w:r>
        <w:rPr>
          <w:rFonts w:hint="eastAsia" w:ascii="仿宋_GB2312"/>
        </w:rPr>
        <w:t>（4）习近平新时代中国特色社会主义思想概论（48学时、3学分）</w:t>
      </w:r>
    </w:p>
    <w:p w14:paraId="1B563558">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55494377">
      <w:pPr>
        <w:overflowPunct w:val="0"/>
        <w:adjustRightInd w:val="0"/>
        <w:ind w:firstLine="640" w:firstLineChars="200"/>
        <w:rPr>
          <w:rFonts w:ascii="仿宋_GB2312"/>
        </w:rPr>
      </w:pPr>
      <w:r>
        <w:rPr>
          <w:rFonts w:hint="eastAsia" w:ascii="仿宋_GB2312"/>
        </w:rPr>
        <w:t>（5）高职英语(96学时、6学分)</w:t>
      </w:r>
    </w:p>
    <w:p w14:paraId="76AE058B">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0D17931F">
      <w:pPr>
        <w:overflowPunct w:val="0"/>
        <w:adjustRightInd w:val="0"/>
        <w:ind w:firstLine="640" w:firstLineChars="200"/>
        <w:rPr>
          <w:rFonts w:ascii="仿宋_GB2312"/>
        </w:rPr>
      </w:pPr>
      <w:r>
        <w:rPr>
          <w:rFonts w:hint="eastAsia" w:ascii="仿宋_GB2312"/>
        </w:rPr>
        <w:t>（6）信息技术(48学时、3学分)</w:t>
      </w:r>
    </w:p>
    <w:p w14:paraId="5C73B5D8">
      <w:pPr>
        <w:overflowPunct w:val="0"/>
        <w:adjustRightInd w:val="0"/>
        <w:ind w:firstLine="640" w:firstLineChars="200"/>
        <w:rPr>
          <w:rFonts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5E141867">
      <w:pPr>
        <w:overflowPunct w:val="0"/>
        <w:adjustRightInd w:val="0"/>
        <w:ind w:firstLine="640" w:firstLineChars="200"/>
        <w:rPr>
          <w:rFonts w:ascii="仿宋_GB2312"/>
        </w:rPr>
      </w:pPr>
      <w:r>
        <w:rPr>
          <w:rFonts w:hint="eastAsia" w:ascii="仿宋_GB2312"/>
        </w:rPr>
        <w:t>（7）体育与健康(112学时、6学分)</w:t>
      </w:r>
    </w:p>
    <w:p w14:paraId="43F907B3">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43A94787">
      <w:pPr>
        <w:overflowPunct w:val="0"/>
        <w:adjustRightInd w:val="0"/>
        <w:ind w:firstLine="640" w:firstLineChars="200"/>
        <w:rPr>
          <w:rFonts w:ascii="仿宋_GB2312"/>
        </w:rPr>
      </w:pPr>
      <w:r>
        <w:rPr>
          <w:rFonts w:hint="eastAsia" w:ascii="仿宋_GB2312"/>
        </w:rPr>
        <w:t>（8）应用写作(16学时、1学分)</w:t>
      </w:r>
    </w:p>
    <w:p w14:paraId="5029D64A">
      <w:pPr>
        <w:overflowPunct w:val="0"/>
        <w:adjustRightInd w:val="0"/>
        <w:ind w:firstLine="640" w:firstLineChars="200"/>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700EC353">
      <w:pPr>
        <w:overflowPunct w:val="0"/>
        <w:adjustRightInd w:val="0"/>
        <w:ind w:firstLine="640" w:firstLineChars="200"/>
        <w:rPr>
          <w:rFonts w:ascii="仿宋_GB2312"/>
        </w:rPr>
      </w:pPr>
      <w:r>
        <w:rPr>
          <w:rFonts w:hint="eastAsia" w:ascii="仿宋_GB2312"/>
        </w:rPr>
        <w:t>（9）职业规划与就业指导(32学时、2学分)</w:t>
      </w:r>
    </w:p>
    <w:p w14:paraId="01683D52">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17051123">
      <w:pPr>
        <w:overflowPunct w:val="0"/>
        <w:adjustRightInd w:val="0"/>
        <w:ind w:firstLine="640" w:firstLineChars="200"/>
        <w:rPr>
          <w:rFonts w:ascii="仿宋_GB2312"/>
        </w:rPr>
      </w:pPr>
      <w:r>
        <w:rPr>
          <w:rFonts w:hint="eastAsia" w:ascii="仿宋_GB2312"/>
        </w:rPr>
        <w:t>（10）创业基础(32学时、2学分)</w:t>
      </w:r>
    </w:p>
    <w:p w14:paraId="386F34D9">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1D4B329A">
      <w:pPr>
        <w:overflowPunct w:val="0"/>
        <w:adjustRightInd w:val="0"/>
        <w:ind w:firstLine="640" w:firstLineChars="200"/>
        <w:rPr>
          <w:rFonts w:ascii="仿宋_GB2312"/>
        </w:rPr>
      </w:pPr>
      <w:r>
        <w:rPr>
          <w:rFonts w:hint="eastAsia" w:ascii="仿宋_GB2312"/>
        </w:rPr>
        <w:t>（11）心理健康教育(32学时、2学分)</w:t>
      </w:r>
    </w:p>
    <w:p w14:paraId="68E0FDEF">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1A7A9850">
      <w:pPr>
        <w:overflowPunct w:val="0"/>
        <w:adjustRightInd w:val="0"/>
        <w:ind w:firstLine="640" w:firstLineChars="200"/>
        <w:rPr>
          <w:rFonts w:ascii="仿宋_GB2312"/>
        </w:rPr>
      </w:pPr>
      <w:r>
        <w:rPr>
          <w:rFonts w:hint="eastAsia" w:ascii="仿宋_GB2312"/>
        </w:rPr>
        <w:t>（12）大学生安全教育(60学时、1学分)</w:t>
      </w:r>
    </w:p>
    <w:p w14:paraId="6C31EA69">
      <w:pPr>
        <w:overflowPunct w:val="0"/>
        <w:adjustRightInd w:val="0"/>
        <w:ind w:firstLine="640" w:firstLineChars="200"/>
        <w:rPr>
          <w:rFonts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rPr>
        <w:t>、实验实训安全</w:t>
      </w:r>
      <w:r>
        <w:rPr>
          <w:rFonts w:ascii="仿宋_GB2312"/>
        </w:rPr>
        <w:t>等</w:t>
      </w:r>
      <w:r>
        <w:rPr>
          <w:rFonts w:hint="eastAsia" w:ascii="仿宋_GB2312"/>
        </w:rPr>
        <w:t>。</w:t>
      </w:r>
    </w:p>
    <w:p w14:paraId="51FAA492">
      <w:pPr>
        <w:overflowPunct w:val="0"/>
        <w:adjustRightInd w:val="0"/>
        <w:ind w:firstLine="640" w:firstLineChars="200"/>
        <w:rPr>
          <w:rFonts w:ascii="仿宋_GB2312"/>
        </w:rPr>
      </w:pPr>
      <w:r>
        <w:rPr>
          <w:rFonts w:hint="eastAsia" w:ascii="仿宋_GB2312"/>
        </w:rPr>
        <w:t>（13）国家安全教育(16学时、1学分)</w:t>
      </w:r>
    </w:p>
    <w:p w14:paraId="17885A92">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65074B3C">
      <w:pPr>
        <w:numPr>
          <w:ilvl w:val="0"/>
          <w:numId w:val="11"/>
        </w:numPr>
        <w:overflowPunct w:val="0"/>
        <w:adjustRightInd w:val="0"/>
        <w:ind w:firstLine="640" w:firstLineChars="200"/>
        <w:rPr>
          <w:rFonts w:ascii="仿宋_GB2312"/>
          <w:szCs w:val="32"/>
        </w:rPr>
      </w:pPr>
      <w:r>
        <w:rPr>
          <w:rFonts w:hint="eastAsia" w:ascii="仿宋_GB2312"/>
        </w:rPr>
        <w:t>劳动教育(</w:t>
      </w:r>
      <w:r>
        <w:rPr>
          <w:rFonts w:hint="eastAsia" w:ascii="仿宋_GB2312"/>
          <w:szCs w:val="32"/>
        </w:rPr>
        <w:t>16学时、1学分)</w:t>
      </w:r>
    </w:p>
    <w:p w14:paraId="63DE1F7A">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5B6A6DA0">
      <w:pPr>
        <w:pStyle w:val="5"/>
        <w:spacing w:before="0"/>
        <w:ind w:firstLine="640" w:firstLineChars="200"/>
        <w:rPr>
          <w:rFonts w:ascii="仿宋_GB2312" w:hAnsi="Times New Roman"/>
          <w:sz w:val="32"/>
        </w:rPr>
      </w:pPr>
      <w:r>
        <w:rPr>
          <w:rFonts w:hint="eastAsia" w:ascii="仿宋_GB2312" w:hAnsi="Times New Roman"/>
          <w:sz w:val="32"/>
        </w:rPr>
        <w:t>（15）军事理论（36学时、2学分）</w:t>
      </w:r>
    </w:p>
    <w:p w14:paraId="1CFC78F4">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1CB8FCB6">
      <w:pPr>
        <w:overflowPunct w:val="0"/>
        <w:adjustRightInd w:val="0"/>
        <w:ind w:firstLine="643" w:firstLineChars="200"/>
        <w:rPr>
          <w:rFonts w:ascii="仿宋_GB2312"/>
          <w:b/>
          <w:bCs/>
        </w:rPr>
      </w:pPr>
      <w:r>
        <w:rPr>
          <w:rFonts w:hint="eastAsia" w:ascii="仿宋_GB2312"/>
          <w:b/>
          <w:bCs/>
        </w:rPr>
        <w:t>2.公共选修课</w:t>
      </w:r>
    </w:p>
    <w:p w14:paraId="7FC3A44F">
      <w:pPr>
        <w:overflowPunct w:val="0"/>
        <w:adjustRightInd w:val="0"/>
        <w:ind w:firstLine="640" w:firstLineChars="200"/>
        <w:rPr>
          <w:rFonts w:ascii="仿宋_GB2312"/>
        </w:rPr>
      </w:pPr>
      <w:r>
        <w:rPr>
          <w:rFonts w:hint="eastAsia" w:ascii="仿宋_GB2312"/>
        </w:rPr>
        <w:t>（1）美育(32学时、2学分)</w:t>
      </w:r>
    </w:p>
    <w:p w14:paraId="0F8374DF">
      <w:pPr>
        <w:overflowPunct w:val="0"/>
        <w:adjustRightInd w:val="0"/>
        <w:ind w:firstLine="640" w:firstLineChars="200"/>
        <w:rPr>
          <w:rFonts w:ascii="仿宋_GB2312"/>
        </w:rPr>
      </w:pPr>
      <w:r>
        <w:rPr>
          <w:rFonts w:hint="eastAsia" w:ascii="仿宋_GB2312"/>
        </w:rPr>
        <w:t>本课程旨在通过系统的理论讲授、经典作品赏析、创意实践体验与多元文化浸润相结合的教学模式，构建学生感知美、鉴赏美、创造美的综合素养体系。课程涵盖艺术史论基础、美学原理阐释、视觉艺术（绘画/雕塑/摄影）、表演艺术（音乐/舞蹈/戏剧）、设计美学及数字媒体艺术等六大模块，通过解析东西方艺术经典案例，引导学生掌握艺术语言分析方法与审美评价标准。在实践环节设置创意绘画工作坊、音乐即兴创作、微电影拍摄等项目，鼓励学生将美学理论转化为具象艺术表达。同时，课程融入非遗文化体验、城市美学考察等跨学科活动，培育学生对生活美学的敏锐感知力。通过阶段性艺术创作展评与期末综合艺术项目考核，助力学生形成个性化的审美表达体系，为未来职场中的品牌策划、文化传播、空间设计等领域奠定坚实的审美素养基础，使其在职业发展中兼具理性思维与艺术创造力。</w:t>
      </w:r>
    </w:p>
    <w:p w14:paraId="41274064">
      <w:pPr>
        <w:overflowPunct w:val="0"/>
        <w:adjustRightInd w:val="0"/>
        <w:ind w:firstLine="640" w:firstLineChars="200"/>
        <w:rPr>
          <w:rFonts w:ascii="仿宋_GB2312"/>
        </w:rPr>
      </w:pPr>
      <w:r>
        <w:rPr>
          <w:rFonts w:hint="eastAsia" w:ascii="仿宋_GB2312"/>
        </w:rPr>
        <w:t>（2）时间管理(16学时、1学分)</w:t>
      </w:r>
    </w:p>
    <w:p w14:paraId="19DE0AB5">
      <w:pPr>
        <w:overflowPunct w:val="0"/>
        <w:adjustRightInd w:val="0"/>
        <w:ind w:firstLine="640" w:firstLineChars="200"/>
        <w:rPr>
          <w:rFonts w:ascii="仿宋_GB2312"/>
        </w:rPr>
      </w:pPr>
      <w:r>
        <w:rPr>
          <w:rFonts w:hint="eastAsia" w:ascii="仿宋_GB2312"/>
        </w:rPr>
        <w:t>本课程聚焦于提升学生时间规划与效能优化的核心能力，通过“理论认知-工具实操-场景应用”三维教学模式，系统构建高效时间管理体系。课程涵盖时间管理基础理论（如帕累托法则、四象限法则）、数字化工具应用（日程管理APP/项目管理软件）、目标拆解与任务优先级排序、碎片化时间整合策略、抗干扰与专注力训练等模块，结合职场案例（如多线程任务处理、跨部门协作时间协调）与校园场景（课程论文/实习/社团活动平衡）开展实战演练。设置“21天时间管理挑战赛”“个人效能诊断报告”等互动环节，引导学生运用甘特图、番茄工作法等工具制定个性化时间计划，并通过复盘反思优化执行策略。课程旨在帮助学生突破拖延症、低效循环等时间管理困境，培养“目标导向-动态调整-持续迭代”的思维模式，为未来职场中复杂任务的高效推进与个人职业发展的可持续性奠定基础。</w:t>
      </w:r>
    </w:p>
    <w:p w14:paraId="764D7514">
      <w:pPr>
        <w:overflowPunct w:val="0"/>
        <w:adjustRightInd w:val="0"/>
        <w:ind w:firstLine="640" w:firstLineChars="200"/>
        <w:rPr>
          <w:rFonts w:ascii="仿宋_GB2312"/>
        </w:rPr>
      </w:pPr>
      <w:r>
        <w:rPr>
          <w:rFonts w:hint="eastAsia" w:ascii="仿宋_GB2312"/>
        </w:rPr>
        <w:t>（3）沟通的艺术(16学时、1学分)</w:t>
      </w:r>
    </w:p>
    <w:p w14:paraId="14916A5E">
      <w:pPr>
        <w:overflowPunct w:val="0"/>
        <w:adjustRightInd w:val="0"/>
        <w:ind w:firstLine="640" w:firstLineChars="200"/>
        <w:rPr>
          <w:rFonts w:ascii="仿宋_GB2312"/>
        </w:rPr>
      </w:pPr>
      <w:r>
        <w:rPr>
          <w:rFonts w:hint="eastAsia" w:ascii="仿宋_GB2312"/>
        </w:rPr>
        <w:t>本课程旨在通过“理论框架-情境模拟-实践反馈”的递进式学习路径，系统提升学生的人际沟通与职场协作能力。课程涵盖沟通基础理论（如非暴力沟通、跨文化沟通模型）、倾听与反馈技巧、情绪管理与冲突化解策略、高情商表达公式、多场景沟通应用（如会议发言、商务谈判、团队协作、客户沟通）等核心模块，结合职场真实案例（如跨部门协作分歧处理、客户投诉应对）与校园高频场景（如小组项目分工、师生交流）设计沉浸式角色扮演。课程创新引入“沟通风格测评”“360度反馈工作坊”，帮助学生识别自身沟通模式并针对性优化；设置“即兴演讲挑战”“危机沟通模拟赛”等高强度训练环节，强化临场应变与逻辑说服能力。通过“沟通效能档案”追踪学习成果，助力学生掌握“精准表达-共情倾听-策略性提问”的黄金三角法则，为未来职场中高效协作、客户关系维护及领导力发展奠定关键能力基础。</w:t>
      </w:r>
    </w:p>
    <w:p w14:paraId="29AA536B">
      <w:pPr>
        <w:overflowPunct w:val="0"/>
        <w:adjustRightInd w:val="0"/>
        <w:ind w:firstLine="640" w:firstLineChars="200"/>
        <w:rPr>
          <w:rFonts w:ascii="仿宋_GB2312"/>
        </w:rPr>
      </w:pPr>
      <w:r>
        <w:rPr>
          <w:rFonts w:hint="eastAsia" w:ascii="仿宋_GB2312"/>
        </w:rPr>
        <w:t>（4）“四史”教育(16学时、1学分)</w:t>
      </w:r>
    </w:p>
    <w:p w14:paraId="064EFD5A">
      <w:pPr>
        <w:ind w:firstLine="640" w:firstLineChars="200"/>
        <w:rPr>
          <w:rFonts w:ascii="仿宋_GB2312"/>
        </w:rPr>
      </w:pPr>
      <w:r>
        <w:rPr>
          <w:rFonts w:hint="eastAsia" w:ascii="仿宋_GB2312"/>
        </w:rPr>
        <w:t>本课程以“党史、新中国史、改革开放史、社会主义发展史”为主线，通过“历史脉络梳理-精神内涵阐释-现实价值转化”三位一体的教学体系，引导学生深刻理解中国共产党领导人民进行革命、建设、改革的奋斗历程与伟大成就。课程采用专题讲授、文献研读、红色基地云参观、历史人物访谈等多元形式，系统解析四史中的重大事件、理论创新与实践经验（如新民主主义革命胜利、社会主义制度确立、改革开放关键节点、习近平新时代中国特色社会主义思想发展），结合当代青年关注的热点问题（如乡村振兴、科技创新、全球治理）探讨历史启示。设置“四史故事微讲堂”“历史场景沉浸式研讨”等互动环节，鼓励学生从历史中汲取精神力量，培育家国情怀与使命担当。课程强调以史鉴今、知史爱党，助力学生将四史学习成果转化为坚定理想信念、投身民族复兴的行动自觉，为未来职业发展注入历史智慧与价值引领力。</w:t>
      </w:r>
    </w:p>
    <w:p w14:paraId="1F5A1221">
      <w:pPr>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（二）专业（技能）课程</w:t>
      </w:r>
    </w:p>
    <w:p w14:paraId="5D764AD0">
      <w:pPr>
        <w:overflowPunct w:val="0"/>
        <w:adjustRightInd w:val="0"/>
        <w:ind w:firstLine="643" w:firstLineChars="200"/>
        <w:rPr>
          <w:rFonts w:ascii="仿宋_GB2312"/>
          <w:b/>
          <w:bCs/>
        </w:rPr>
      </w:pPr>
      <w:r>
        <w:rPr>
          <w:rFonts w:hint="eastAsia" w:ascii="仿宋_GB2312"/>
          <w:b/>
          <w:bCs/>
        </w:rPr>
        <w:t>1.专业基础课</w:t>
      </w:r>
    </w:p>
    <w:p w14:paraId="1E20EAB3">
      <w:pPr>
        <w:overflowPunct w:val="0"/>
        <w:adjustRightInd w:val="0"/>
        <w:ind w:firstLine="640" w:firstLineChars="200"/>
        <w:rPr>
          <w:rFonts w:ascii="仿宋_GB2312"/>
        </w:rPr>
      </w:pPr>
      <w:r>
        <w:rPr>
          <w:rFonts w:hint="eastAsia" w:ascii="仿宋_GB2312"/>
        </w:rPr>
        <w:t>（1）建筑材料(</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6FD8A666">
      <w:pPr>
        <w:ind w:firstLine="640" w:firstLineChars="200"/>
        <w:rPr>
          <w:rFonts w:ascii="仿宋_GB2312"/>
        </w:rPr>
      </w:pPr>
      <w:r>
        <w:rPr>
          <w:rFonts w:hint="eastAsia" w:ascii="仿宋_GB2312"/>
        </w:rPr>
        <w:t>本课程旨在通过理论讲解、实验操作、案例分析与工程实践相结合的教学模式，帮助学生系统掌握建筑材料的基础理论、性能特点与应用技术，培养学生在工程建设中合理选用材料、科学检测材料质量及解决实际工程问题的能力。课程主要涵盖建筑材料基本性质、胶凝材料、混凝土与砂浆、金属材料、墙体屋面材料、防水材料、建筑装饰材料等七大核心模块，通过剖析水泥水化机理、混凝土配合比设计、钢材力学性能测试等关键内容，引导学生掌握材料性能检测方法与质量控制标准。在实践环节，设置水泥安定性试验、混凝土坍落度测定、钢筋拉伸试验等操作项目，要求学生独立完成试验流程、数据记录与分析报告撰写。同时，课程引入实际工程案例研讨、建筑材料市场调研等活动，强化学生对材料在不同工程场景中适用性的理解。通过阶段性实验考核、课程设计与期末考试的多元评价体系，确保学生能够熟练运用建筑材料知识，为后续建筑工程设计、施工管理、质量监督等职业发展夯实专业基础，使其在实际工作中具备科学选材、精准用材的专业素养。</w:t>
      </w:r>
    </w:p>
    <w:p w14:paraId="65747AEF">
      <w:pPr>
        <w:overflowPunct w:val="0"/>
        <w:adjustRightInd w:val="0"/>
        <w:ind w:firstLine="640" w:firstLineChars="200"/>
        <w:rPr>
          <w:rFonts w:ascii="仿宋_GB2312"/>
        </w:rPr>
      </w:pPr>
      <w:r>
        <w:rPr>
          <w:rFonts w:hint="eastAsia" w:ascii="仿宋_GB2312"/>
        </w:rPr>
        <w:t>（2）建筑制图与识图(64学时、4学分)</w:t>
      </w:r>
    </w:p>
    <w:p w14:paraId="409D019C">
      <w:pPr>
        <w:ind w:firstLine="640" w:firstLineChars="200"/>
        <w:rPr>
          <w:rFonts w:ascii="仿宋_GB2312"/>
        </w:rPr>
      </w:pPr>
      <w:r>
        <w:rPr>
          <w:rFonts w:hint="eastAsia" w:ascii="仿宋_GB2312"/>
        </w:rPr>
        <w:t>本课程旨在通过理论教学、绘图实训、案例解读与软件实操相结合的教学模式，培养学生熟练掌握建筑制图规范与识图技能，具备绘制和识读建筑工程图纸的专业能力。课程主要包含制图基础知识、投影原理、建筑平立剖面图绘制、建筑详图识读、结构施工图分析及 BIM 软件制图等六大模块，通过解析投影规律、建筑图例表达、节点构造绘制等核心内容，引导学生掌握图纸绘制标准与识图方法。在实践环节，安排手工绘制建筑平面图、CAD 软件绘制立面图、BIM 模型搭建等实操项目，要求学生完成从草图设计到精确成图的全流程。同时，引入真实工程图纸会审模拟、建筑图纸纠错分析等活动，强化识图应用能力。通过阶段性绘图作业、软件操作考核与综合图纸识读测试，助力学生为建筑设计、施工监理等职业发展筑牢基础。</w:t>
      </w:r>
    </w:p>
    <w:p w14:paraId="62538EE4">
      <w:pPr>
        <w:numPr>
          <w:ilvl w:val="0"/>
          <w:numId w:val="12"/>
        </w:numPr>
        <w:overflowPunct w:val="0"/>
        <w:adjustRightInd w:val="0"/>
        <w:ind w:firstLine="640" w:firstLineChars="200"/>
        <w:rPr>
          <w:rFonts w:ascii="仿宋_GB2312"/>
        </w:rPr>
      </w:pPr>
      <w:r>
        <w:rPr>
          <w:rFonts w:hint="eastAsia" w:ascii="仿宋_GB2312"/>
        </w:rPr>
        <w:t>计算机辅助设计CAD(64学时、4学分)</w:t>
      </w:r>
    </w:p>
    <w:p w14:paraId="3A9DBD23">
      <w:pPr>
        <w:overflowPunct w:val="0"/>
        <w:adjustRightInd w:val="0"/>
        <w:ind w:firstLine="640" w:firstLineChars="200"/>
        <w:rPr>
          <w:rFonts w:ascii="仿宋_GB2312"/>
        </w:rPr>
      </w:pPr>
      <w:r>
        <w:rPr>
          <w:rFonts w:hint="eastAsia" w:ascii="仿宋_GB2312"/>
        </w:rPr>
        <w:t>本课程旨在通过理论讲授、软件实操、项目案例与工程应用相结合的教学模式，培养学生熟练掌握CAD软件在建筑工程领域的应用技能，具备独立完成建筑图纸绘制、修改及三维模型构建的专业能力。课程主要涵盖CAD基础操作、二维绘图命令、建筑平面图绘制、立面剖面图深化、三维建模技巧及图纸输出规范等六大模块，通过解析图层管理、尺寸标注标准、节点大样绘制等核心内容，引导学生掌握数字化绘图的流程与规范。在实践环节，设置建筑平面图绘制、结构详图深化、三维建筑模型创建等实操项目，要求学生运用快捷键、块属性等功能完成从草图到成图的全过程。同时，引入真实工程图纸数字化转换、CAD图纸协同修改等实战训练，强化软件应用能力。通过阶段性绘图作业、软件操作考核与综合项目设计的多元评价，助力学生为建筑设计、施工管理等职业发展夯实数字化绘图基础。</w:t>
      </w:r>
    </w:p>
    <w:p w14:paraId="506DA84D">
      <w:pPr>
        <w:numPr>
          <w:ilvl w:val="0"/>
          <w:numId w:val="12"/>
        </w:numPr>
        <w:overflowPunct w:val="0"/>
        <w:adjustRightInd w:val="0"/>
        <w:ind w:firstLine="640" w:firstLineChars="200"/>
        <w:rPr>
          <w:rFonts w:ascii="仿宋_GB2312"/>
        </w:rPr>
      </w:pPr>
      <w:r>
        <w:rPr>
          <w:rFonts w:hint="eastAsia" w:ascii="仿宋_GB2312"/>
        </w:rPr>
        <w:t>工程测量(64学时、4学分)</w:t>
      </w:r>
    </w:p>
    <w:p w14:paraId="19DE81D8">
      <w:pPr>
        <w:overflowPunct w:val="0"/>
        <w:adjustRightInd w:val="0"/>
        <w:rPr>
          <w:rFonts w:ascii="仿宋_GB2312"/>
        </w:rPr>
      </w:pPr>
      <w:r>
        <w:rPr>
          <w:rFonts w:hint="eastAsia" w:ascii="仿宋_GB2312"/>
        </w:rPr>
        <w:t xml:space="preserve">    本课程旨在通过理论教学、仪器实操、项目实训与工程实践相结合的教学模式，培养学生掌握工程测量的基础理论、仪器操作技能及数据处理方法，具备独立完成地形测量、施工放样及变形监测等工程任务的能力。课程主要涵盖测量基础理论、水准仪与经纬仪操作、全站仪与 GPS 应用、地形测量方法、施工放样技术及测量数据处理等六大模块，通过解析水准测量原理、角度距离测量方法、坐标计算等核心内容，引导学生掌握测量规范与操作标准。在实践环节，设置水准路线测量、导线测量实训、建筑轴线放样等实操项目，要求学生完成仪器调试、数据采集及成果计算全流程。同时，引入工程现场测量见习、模拟施工放样考核等活动，强化测量技术应用能力。通过阶段性仪器操作考核、测量实训报告与综合项目验收的多元评价，为学生从事工程勘察、施工测量等职业筑牢专业基础。</w:t>
      </w:r>
    </w:p>
    <w:p w14:paraId="0827F637">
      <w:pPr>
        <w:numPr>
          <w:ilvl w:val="0"/>
          <w:numId w:val="12"/>
        </w:numPr>
        <w:overflowPunct w:val="0"/>
        <w:adjustRightInd w:val="0"/>
        <w:ind w:firstLine="640" w:firstLineChars="200"/>
        <w:rPr>
          <w:rFonts w:ascii="仿宋_GB2312"/>
        </w:rPr>
      </w:pPr>
      <w:r>
        <w:rPr>
          <w:rFonts w:hint="eastAsia" w:ascii="仿宋_GB2312"/>
        </w:rPr>
        <w:t>建筑构造(64学时、4学分)</w:t>
      </w:r>
    </w:p>
    <w:p w14:paraId="001D5F0C">
      <w:pPr>
        <w:ind w:firstLine="640" w:firstLineChars="200"/>
        <w:rPr>
          <w:rFonts w:ascii="仿宋_GB2312"/>
        </w:rPr>
      </w:pPr>
      <w:r>
        <w:rPr>
          <w:rFonts w:hint="eastAsia" w:ascii="仿宋_GB2312"/>
        </w:rPr>
        <w:t>本课程旨在通过理论教学、模型制作、案例解析与工程实践结合的模式，培养学生掌握建筑构造原理、设计方法及构造节点表达能力，能独立完成构造方案设计与节点详图绘制。课程涵盖基础构造、墙体与楼地层、楼梯与屋顶、门窗与变形缝、建筑防水及工业化建筑构造六大模块，重点解析节点连接、材料组合、防水处理等核心内容。实践环节设置构造模型制作、节点详图绘制、防水构造实验等项目，要求学生完成从方案设计到详图表达全流程。通过作业、模型考核与综合设计的多元评价，为建筑设计、施工技术等职业筑牢构造设计基础。</w:t>
      </w:r>
    </w:p>
    <w:p w14:paraId="01D3F248">
      <w:pPr>
        <w:numPr>
          <w:ilvl w:val="0"/>
          <w:numId w:val="12"/>
        </w:numPr>
        <w:overflowPunct w:val="0"/>
        <w:adjustRightInd w:val="0"/>
        <w:ind w:firstLine="640" w:firstLineChars="200"/>
        <w:rPr>
          <w:rFonts w:ascii="仿宋_GB2312"/>
        </w:rPr>
      </w:pPr>
      <w:r>
        <w:rPr>
          <w:rFonts w:hint="eastAsia" w:ascii="仿宋_GB2312"/>
        </w:rPr>
        <w:t>建筑力学与结构(64学时、4学分)</w:t>
      </w:r>
    </w:p>
    <w:p w14:paraId="3B0259FF">
      <w:pPr>
        <w:ind w:firstLine="640" w:firstLineChars="200"/>
        <w:rPr>
          <w:rFonts w:ascii="仿宋_GB2312"/>
        </w:rPr>
      </w:pPr>
      <w:r>
        <w:rPr>
          <w:rFonts w:hint="eastAsia" w:ascii="仿宋_GB2312"/>
        </w:rPr>
        <w:t>本课程旨在通过理论教学、案例分析、模型计算与工程实践结合的模式，培养学生掌握建筑力学基本原理、结构分析方法及构件设计能力，能独立完成结构受力计算与构件配筋设计。课程涵盖静力学基础、材料力学、结构力学、混凝土结构、砌体结构及钢结构六大模块，重点解析构件受力分析、内力计算、截面设计等核心内容。实践环节设置力学模型计算、结构内力分析、构件配筋设计等项目，要求学生完成从力学分析到结构设计全流程。通过作业、模型计算考核与综合结构设计的多元评价，为建筑设计、结构施工等职业筑牢力学与结构基础。</w:t>
      </w:r>
    </w:p>
    <w:p w14:paraId="6443696F">
      <w:pPr>
        <w:numPr>
          <w:ilvl w:val="0"/>
          <w:numId w:val="12"/>
        </w:numPr>
        <w:overflowPunct w:val="0"/>
        <w:adjustRightInd w:val="0"/>
        <w:ind w:firstLine="640" w:firstLineChars="200"/>
        <w:rPr>
          <w:rFonts w:ascii="仿宋_GB2312"/>
        </w:rPr>
      </w:pPr>
      <w:r>
        <w:rPr>
          <w:rFonts w:hint="eastAsia" w:ascii="仿宋_GB2312"/>
        </w:rPr>
        <w:t>建筑工程施工工艺(</w:t>
      </w:r>
      <w:r>
        <w:rPr>
          <w:rFonts w:hint="eastAsia" w:ascii="仿宋_GB2312"/>
          <w:lang w:val="en-US" w:eastAsia="zh-CN"/>
        </w:rPr>
        <w:t>48</w:t>
      </w:r>
      <w:r>
        <w:rPr>
          <w:rFonts w:hint="eastAsia" w:ascii="仿宋_GB2312"/>
        </w:rPr>
        <w:t>学时、</w:t>
      </w:r>
      <w:r>
        <w:rPr>
          <w:rFonts w:hint="eastAsia" w:ascii="仿宋_GB2312"/>
          <w:lang w:val="en-US" w:eastAsia="zh-CN"/>
        </w:rPr>
        <w:t>3</w:t>
      </w:r>
      <w:r>
        <w:rPr>
          <w:rFonts w:hint="eastAsia" w:ascii="仿宋_GB2312"/>
        </w:rPr>
        <w:t>学分)</w:t>
      </w:r>
    </w:p>
    <w:p w14:paraId="0930B120">
      <w:pPr>
        <w:ind w:firstLine="640" w:firstLineChars="200"/>
        <w:rPr>
          <w:rFonts w:ascii="仿宋_GB2312"/>
        </w:rPr>
      </w:pPr>
      <w:r>
        <w:rPr>
          <w:rFonts w:hint="eastAsia" w:ascii="仿宋_GB2312"/>
        </w:rPr>
        <w:t>本课程旨在通过理论讲解、工艺实训、案例分析与现场实践结合的教学模式，培养学生掌握建筑工程各分部分项工程的施工工艺原理、操作流程及质量控制要点，具备编制施工方案、指导现场施工及解决实际工艺问题的能力。课程涵盖土方与基础工程、主体结构施工、防水工程、装饰装修工程、屋面工程及装配式建筑施工等六大模块，重点解析混凝土浇筑、钢筋绑扎、砌体砌筑、墙面装修等核心工艺。实践环节设置钢筋加工绑扎实训、模板安装拆卸、防水卷材铺贴等实操项目，要求学生完成从工艺流程掌握到质量验收的全流程。通过阶段性工艺操作考核、施工方案设计与综合工艺实训的多元评价，为学生从事施工管理、工程监理等职业夯实工艺技术基础。</w:t>
      </w:r>
    </w:p>
    <w:p w14:paraId="2C07DE63">
      <w:pPr>
        <w:numPr>
          <w:ilvl w:val="0"/>
          <w:numId w:val="12"/>
        </w:numPr>
        <w:overflowPunct w:val="0"/>
        <w:adjustRightInd w:val="0"/>
        <w:ind w:firstLine="640" w:firstLineChars="200"/>
        <w:rPr>
          <w:rFonts w:ascii="仿宋_GB2312"/>
        </w:rPr>
      </w:pPr>
      <w:r>
        <w:rPr>
          <w:rFonts w:hint="eastAsia" w:ascii="仿宋_GB2312"/>
        </w:rPr>
        <w:t>建筑工程经济(64学时、4学分)</w:t>
      </w:r>
    </w:p>
    <w:p w14:paraId="44EB3390">
      <w:pPr>
        <w:ind w:firstLine="640" w:firstLineChars="200"/>
        <w:rPr>
          <w:rFonts w:ascii="仿宋_GB2312"/>
        </w:rPr>
      </w:pPr>
      <w:r>
        <w:rPr>
          <w:rFonts w:hint="eastAsia" w:ascii="仿宋_GB2312"/>
        </w:rPr>
        <w:t>本课程旨在通过理论教学、案例分析、经济计算与工程实践结合的模式，培养学生掌握建筑工程经济的基础理论、评价方法及造价计算能力，能独立完成工程经济分析、造价估算与成本控制。课程涵盖工程经济基础、资金时间价值、项目经济评价、造价构成与计算、招投标报价及工程成本管理六大模块，重点解析经济指标计算、造价定额应用、招投标策略等核心内容。实践环节设置工程经济指标计算、造价文件编制、投标报价模拟等项目，要求学生完成从经济数据处理到造价文件编制全流程。通过作业、经济计算考核与综合造价项目的多元评价，为工程管理、造价咨询等职业筑牢经济与造价基础。</w:t>
      </w:r>
    </w:p>
    <w:p w14:paraId="0E25EC9D">
      <w:pPr>
        <w:numPr>
          <w:ilvl w:val="0"/>
          <w:numId w:val="12"/>
        </w:numPr>
        <w:overflowPunct w:val="0"/>
        <w:adjustRightInd w:val="0"/>
        <w:ind w:firstLine="640" w:firstLineChars="200"/>
        <w:rPr>
          <w:rFonts w:ascii="仿宋_GB2312"/>
        </w:rPr>
      </w:pPr>
      <w:r>
        <w:rPr>
          <w:rFonts w:hint="eastAsia" w:ascii="仿宋_GB2312"/>
        </w:rPr>
        <w:t>BIM概论与三维建模(</w:t>
      </w:r>
      <w:r>
        <w:rPr>
          <w:rFonts w:hint="eastAsia" w:ascii="仿宋_GB2312"/>
          <w:lang w:val="en-US" w:eastAsia="zh-CN"/>
        </w:rPr>
        <w:t>160</w:t>
      </w:r>
      <w:r>
        <w:rPr>
          <w:rFonts w:hint="eastAsia" w:ascii="仿宋_GB2312"/>
        </w:rPr>
        <w:t>学时、</w:t>
      </w:r>
      <w:r>
        <w:rPr>
          <w:rFonts w:hint="eastAsia" w:ascii="仿宋_GB2312"/>
          <w:lang w:val="en-US" w:eastAsia="zh-CN"/>
        </w:rPr>
        <w:t>10</w:t>
      </w:r>
      <w:r>
        <w:rPr>
          <w:rFonts w:hint="eastAsia" w:ascii="仿宋_GB2312"/>
        </w:rPr>
        <w:t>学分)</w:t>
      </w:r>
    </w:p>
    <w:p w14:paraId="5FF2F995">
      <w:pPr>
        <w:ind w:firstLine="640" w:firstLineChars="200"/>
        <w:rPr>
          <w:rFonts w:ascii="仿宋_GB2312"/>
        </w:rPr>
      </w:pPr>
      <w:r>
        <w:rPr>
          <w:rFonts w:hint="eastAsia" w:ascii="仿宋_GB2312"/>
        </w:rPr>
        <w:t>本课程旨在通过理论讲解、软件实操、项目案例与协同设计结合的教学模式，培养学生掌握BIM技术基础理论、三维建模方法及协同管理流程，具备独立完成建筑模型创建、管线综合碰撞检测及施工模拟的能力。课程涵盖BIM技术概论、Revit基础操作、建筑与结构建模、机电管线设计、碰撞检测应用及施工进度模拟六大模块，重点解析参数化建模逻辑、构件族创建、多专业协同设计等核心内容。实践环节设置建筑单体建模、结构构件族创建、机电管线综合布置等实操项目，要求学生运用BIM软件完成从模型搭建到成果输出的全流程。通过阶段性建模作业、软件操作考核与综合BIM项目设计的多元评价，为学生从事BIM建模、施工管理等职业夯实数字化技术基础。</w:t>
      </w:r>
    </w:p>
    <w:p w14:paraId="075DABF7">
      <w:pPr>
        <w:overflowPunct w:val="0"/>
        <w:adjustRightInd w:val="0"/>
        <w:ind w:firstLine="643" w:firstLineChars="200"/>
        <w:rPr>
          <w:rFonts w:ascii="仿宋_GB2312"/>
          <w:b/>
          <w:bCs/>
        </w:rPr>
      </w:pPr>
      <w:r>
        <w:rPr>
          <w:rFonts w:hint="eastAsia" w:ascii="仿宋_GB2312"/>
          <w:b/>
          <w:bCs/>
        </w:rPr>
        <w:t>2.专业核心课</w:t>
      </w:r>
    </w:p>
    <w:p w14:paraId="2F9AC63F">
      <w:pPr>
        <w:overflowPunct w:val="0"/>
        <w:adjustRightInd w:val="0"/>
        <w:ind w:firstLine="640" w:firstLineChars="200"/>
        <w:rPr>
          <w:rFonts w:ascii="仿宋_GB2312"/>
        </w:rPr>
      </w:pPr>
      <w:r>
        <w:rPr>
          <w:rFonts w:hint="eastAsia" w:ascii="仿宋_GB2312"/>
        </w:rPr>
        <w:t>（1）建设工程定额原理与实务(64学时、4学分)</w:t>
      </w:r>
    </w:p>
    <w:p w14:paraId="5FB43C78">
      <w:pPr>
        <w:ind w:firstLine="640" w:firstLineChars="200"/>
        <w:rPr>
          <w:rFonts w:ascii="仿宋_GB2312"/>
        </w:rPr>
      </w:pPr>
      <w:r>
        <w:rPr>
          <w:rFonts w:hint="eastAsia" w:ascii="仿宋_GB2312"/>
        </w:rPr>
        <w:t>本课程通过理论讲解、定额实训、案例分析与造价实践结合的教学模式，培养学生掌握建设工程定额编制原理、应用方法及造价计算技能，具备独立完成工程量计算、定额套用及造价文件编制的能力。课程涵盖定额基础理论、预算定额应用、概算定额编制、工程量清单计价、定额软件实务及造价案例分析六大模块，重点解析定额消耗量标准、工程量计算规则、清单计价规范等核心内容。实践环节设置定额手册应用实训、分部分项工程量计算、单位工程预算书编制等实操项目，要求学生完成从工程识图到造价文件输出的全流程。通过阶段性定额计算作业、软件操作考核与综合造价项目设计的多元评价，为学生从事工程造价、工程管理等职业筑牢定额应用与造价编制基础。</w:t>
      </w:r>
    </w:p>
    <w:p w14:paraId="2080C2C7">
      <w:pPr>
        <w:overflowPunct w:val="0"/>
        <w:adjustRightInd w:val="0"/>
        <w:ind w:firstLine="640" w:firstLineChars="200"/>
        <w:rPr>
          <w:rFonts w:ascii="仿宋_GB2312"/>
        </w:rPr>
      </w:pPr>
      <w:r>
        <w:rPr>
          <w:rFonts w:hint="eastAsia" w:ascii="仿宋_GB2312"/>
        </w:rPr>
        <w:t>（2）建筑工程计量与计价(96学时、6学分)</w:t>
      </w:r>
    </w:p>
    <w:p w14:paraId="06BD1773">
      <w:pPr>
        <w:ind w:firstLine="640" w:firstLineChars="200"/>
        <w:rPr>
          <w:rFonts w:ascii="仿宋_GB2312"/>
        </w:rPr>
      </w:pPr>
      <w:r>
        <w:rPr>
          <w:rFonts w:hint="eastAsia" w:ascii="仿宋_GB2312"/>
        </w:rPr>
        <w:t>本课程通过理论教学、软件实操、案例分析与造价实践结合的模式，培养学生掌握建筑工程计量规则、计价方法及造价文件编制技能，具备独立完成工程量计算、清单组价及造价成果文件编制的能力。课程涵盖工程计量基础、建筑面积计算、</w:t>
      </w:r>
      <w:r>
        <w:rPr>
          <w:rFonts w:hint="eastAsia" w:ascii="仿宋_GB2312"/>
          <w:color w:val="auto"/>
        </w:rPr>
        <w:t>分部分项</w:t>
      </w:r>
      <w:r>
        <w:rPr>
          <w:rFonts w:hint="eastAsia" w:ascii="仿宋_GB2312"/>
        </w:rPr>
        <w:t>工程量计算、清单计价规范应用、计价软件实操及造价案例分析六大模块，重点解析工程量计算规则、清单项目特征描述、综合单价组价等核心内容。实践环节设置工程量手工计算、计价软件套价、单位工程预算书编制等项目，要求学生完成从图纸识读到造价文件输出全流程。通过阶段性计量计价作业、软件操作考核与综合造价项目的多元评价，为造价咨询、工程管理等职业筑牢计量计价基础。</w:t>
      </w:r>
    </w:p>
    <w:p w14:paraId="1F395160">
      <w:pPr>
        <w:overflowPunct w:val="0"/>
        <w:adjustRightInd w:val="0"/>
        <w:ind w:firstLine="640" w:firstLineChars="200"/>
        <w:rPr>
          <w:rFonts w:ascii="仿宋_GB2312"/>
        </w:rPr>
      </w:pPr>
      <w:r>
        <w:rPr>
          <w:rFonts w:hint="eastAsia" w:ascii="仿宋_GB2312"/>
        </w:rPr>
        <w:t>（3）工程造价控制与管理(64学时、4学分)</w:t>
      </w:r>
    </w:p>
    <w:p w14:paraId="74F384FF">
      <w:pPr>
        <w:ind w:firstLine="640" w:firstLineChars="200"/>
        <w:rPr>
          <w:rFonts w:ascii="仿宋_GB2312"/>
        </w:rPr>
      </w:pPr>
      <w:r>
        <w:rPr>
          <w:rFonts w:hint="eastAsia" w:ascii="仿宋_GB2312"/>
        </w:rPr>
        <w:t>本课程旨在通过理论讲解、案例分析、软件应用与造价实践结合的教学模式，培养学生掌握工程造价控制原理、管理方法及全过程造价管控技能，具备独立完成投资估算、预算编制、成本控制及结算审核的能力。课程涵盖造价控制基础、投资决策阶段造价管理、设计与招投标阶段造价控制、施工与竣工阶段造价管理、BIM造价应用及造价案例分析六大模块，重点解析工程量清单计价、合同价款调整、工程变更索赔等核心内容。实践环节设置投资估算编制、合同价款计算、工程结算模拟等实操项目，要求学生运用造价软件完成全流程造价管控。通过阶段性造价文件编制、案例分析考核与综合造价管控项目的多元评价，为学生从事造价咨询、工程管理等职业筑牢全过程造价管控基础。</w:t>
      </w:r>
    </w:p>
    <w:p w14:paraId="3D422286">
      <w:pPr>
        <w:overflowPunct w:val="0"/>
        <w:adjustRightInd w:val="0"/>
        <w:ind w:firstLine="640" w:firstLineChars="200"/>
        <w:rPr>
          <w:rFonts w:ascii="仿宋_GB2312"/>
        </w:rPr>
      </w:pPr>
      <w:r>
        <w:rPr>
          <w:rFonts w:hint="eastAsia" w:ascii="仿宋_GB2312"/>
        </w:rPr>
        <w:t>（4）招投标与合同管理(64学时、4学分)</w:t>
      </w:r>
    </w:p>
    <w:p w14:paraId="2D333A22">
      <w:pPr>
        <w:ind w:firstLine="640" w:firstLineChars="200"/>
        <w:rPr>
          <w:rFonts w:ascii="仿宋_GB2312"/>
        </w:rPr>
      </w:pPr>
      <w:r>
        <w:rPr>
          <w:rFonts w:hint="eastAsia" w:ascii="仿宋_GB2312"/>
        </w:rPr>
        <w:t xml:space="preserve">本课程旨在通过理论讲解、案例分析、模拟实训与法律实践结合的教学模式，培养学生掌握招投标流程、合同编制及项目管理技能，具备独立完成招投标文件编制、合同谈判及合同履约管理的能力。课程涵盖招投标法规基础、招标策划与实施、投标策略与报价、合同订立与履行、索赔管理及纠纷处理六大模块，重点解析招投标程序规范、合同条款拟定、索赔证据收集等核心内容。实践环节设置招标公告撰写、投标文件编制、合同条款模拟谈判等实操项目，要求学生完成从招投标策划到合同履约管理的全流程。通过阶段性文件编制作业、模拟谈判考核与综合案例分析的多元评价，为学生从事工程招投标、合同管理等职业筑牢专业基础。 </w:t>
      </w:r>
    </w:p>
    <w:p w14:paraId="214A00D2">
      <w:pPr>
        <w:overflowPunct w:val="0"/>
        <w:adjustRightInd w:val="0"/>
        <w:ind w:firstLine="640" w:firstLineChars="200"/>
        <w:rPr>
          <w:rFonts w:ascii="仿宋_GB2312"/>
        </w:rPr>
      </w:pPr>
      <w:r>
        <w:rPr>
          <w:rFonts w:hint="eastAsia" w:ascii="仿宋_GB2312"/>
        </w:rPr>
        <w:t>（5）建设工程项目管理(96学时、6学分)</w:t>
      </w:r>
    </w:p>
    <w:p w14:paraId="2F0E434B">
      <w:pPr>
        <w:ind w:firstLine="640" w:firstLineChars="200"/>
        <w:rPr>
          <w:rFonts w:ascii="仿宋_GB2312"/>
        </w:rPr>
      </w:pPr>
      <w:r>
        <w:rPr>
          <w:rFonts w:hint="eastAsia" w:ascii="仿宋_GB2312"/>
        </w:rPr>
        <w:t xml:space="preserve">本课程通过理论讲授、案例分析、沙盘模拟与项目实践相结合的教学模式，培养学生掌握建设工程项目全生命周期管理的理论、方法与工具，具备编制项目计划、组织资源调配、控制进度成本及处理工程变更的实践能力。课程涵盖项目管理基础、项目组织与团队建设、进度计划编制、成本与质量管理、安全与风险管理、合同与信息管理六大模块，重点解析WBS工作分解、甘特图绘制、挣值分析法应用等核心内容。实践环节设置项目沙盘推演、进度计划编制、质量事故模拟处理等实操项目，要求学生运用Project等软件完成从项目启动到收尾的全流程管理。通过阶段性方案设计、沙盘考核与综合项目管理报告的多元评价，为工程管理、项目策划等职业筑牢管理基础。 </w:t>
      </w:r>
    </w:p>
    <w:p w14:paraId="51386744">
      <w:pPr>
        <w:overflowPunct w:val="0"/>
        <w:adjustRightInd w:val="0"/>
        <w:ind w:firstLine="640" w:firstLineChars="200"/>
        <w:rPr>
          <w:rFonts w:ascii="仿宋_GB2312"/>
        </w:rPr>
      </w:pPr>
      <w:r>
        <w:rPr>
          <w:rFonts w:hint="eastAsia" w:ascii="仿宋_GB2312"/>
        </w:rPr>
        <w:t>（6）工程造价及算量软件实训(64学时、4学分)</w:t>
      </w:r>
    </w:p>
    <w:p w14:paraId="7BDE7F6E">
      <w:pPr>
        <w:ind w:firstLine="640" w:firstLineChars="200"/>
        <w:rPr>
          <w:rFonts w:ascii="仿宋_GB2312"/>
        </w:rPr>
      </w:pPr>
      <w:r>
        <w:rPr>
          <w:rFonts w:hint="eastAsia" w:ascii="仿宋_GB2312"/>
        </w:rPr>
        <w:t xml:space="preserve">本课程通过软件实操、案例演练与项目实践相结合的教学模式，培养学生熟练掌握造价及算量软件的操作技能，具备运用软件独立完成工程量计算、清单编制、造价文件生成的能力。课程主要涵盖广联达BIM安装计量、BIM土建计量、云计价软件等核心内容，重点解析轴网绘制、构件参数设置、清单定额套用、造价数据导出等操作要点。实践环节设置建筑工程算量建模、装饰装修工程计价、机电安装工程算量等实操项目，要求学生完成从图纸导入到成果输出的全流程操作。通过阶段性软件操作考核、项目成果验收的多元评价，为学生从事工程造价岗位夯实软件应用基础。 </w:t>
      </w:r>
    </w:p>
    <w:p w14:paraId="21CB9619">
      <w:pPr>
        <w:overflowPunct w:val="0"/>
        <w:adjustRightInd w:val="0"/>
        <w:ind w:firstLine="643" w:firstLineChars="200"/>
        <w:rPr>
          <w:rFonts w:ascii="仿宋_GB2312"/>
          <w:b/>
          <w:bCs/>
        </w:rPr>
      </w:pPr>
      <w:r>
        <w:rPr>
          <w:rFonts w:hint="eastAsia" w:ascii="仿宋_GB2312"/>
          <w:b/>
          <w:bCs/>
        </w:rPr>
        <w:t>3.专业拓展课</w:t>
      </w:r>
    </w:p>
    <w:p w14:paraId="1A4A0FBB">
      <w:pPr>
        <w:overflowPunct w:val="0"/>
        <w:adjustRightInd w:val="0"/>
        <w:ind w:firstLine="640" w:firstLineChars="200"/>
        <w:rPr>
          <w:rFonts w:ascii="仿宋_GB2312"/>
        </w:rPr>
      </w:pPr>
      <w:r>
        <w:rPr>
          <w:rFonts w:hint="eastAsia" w:ascii="仿宋_GB2312"/>
        </w:rPr>
        <w:t>（1）建设工程法律法规(32学时、2学分)</w:t>
      </w:r>
    </w:p>
    <w:p w14:paraId="264A39D3">
      <w:pPr>
        <w:ind w:firstLine="640" w:firstLineChars="200"/>
        <w:rPr>
          <w:rFonts w:ascii="仿宋_GB2312"/>
        </w:rPr>
      </w:pPr>
      <w:r>
        <w:rPr>
          <w:rFonts w:hint="eastAsia" w:ascii="仿宋_GB2312"/>
        </w:rPr>
        <w:t>本课程旨在通过理论讲解、案例剖析、模拟法庭与法律文书撰写结合的教学模式，培养学生掌握建设工程领域法律法规知识，具备依法处理工程招投标、合同纠纷、质量安全等问题的能力。课程涵盖工程建设基本法律知识、招标投标法、建筑法、安全生产法、工程纠纷处理六大模块，重点解析法律责任认定、合同效力判断、纠纷解决途径等核心内容。实践环节设置建设工程合同纠纷模拟仲裁、法律风险案例分析报告撰写等项目，要求学生完成从法律条文应用到纠纷解决方案制定的全流程。通过阶段性案例分析考核、模拟法庭表现与法律文书质量的多元评价，为工程管理、法律实务等职业筑牢法律基础。</w:t>
      </w:r>
    </w:p>
    <w:p w14:paraId="089912AC">
      <w:pPr>
        <w:overflowPunct w:val="0"/>
        <w:adjustRightInd w:val="0"/>
        <w:ind w:firstLine="640" w:firstLineChars="200"/>
        <w:rPr>
          <w:rFonts w:ascii="仿宋_GB2312"/>
        </w:rPr>
      </w:pPr>
      <w:r>
        <w:rPr>
          <w:rFonts w:hint="eastAsia" w:ascii="仿宋_GB2312"/>
        </w:rPr>
        <w:t>（2）全过程工程造价概论(32学时、2学分)</w:t>
      </w:r>
    </w:p>
    <w:p w14:paraId="736DFABE">
      <w:pPr>
        <w:ind w:firstLine="640" w:firstLineChars="200"/>
        <w:rPr>
          <w:rFonts w:ascii="仿宋_GB2312"/>
        </w:rPr>
      </w:pPr>
      <w:r>
        <w:rPr>
          <w:rFonts w:hint="eastAsia" w:ascii="仿宋_GB2312"/>
        </w:rPr>
        <w:t>本课程旨在通过理论讲授、案例分析与项目实践相结合的教学模式，培养学生掌握全过程工程造价管理的基础理论、工作流程与核心方法，具备独立完成投资估算、设计概算、施工图预算、竣工结算等阶段造价管控的能力。课程涵盖投资决策阶段、设计阶段、招投标阶段、施工阶段及竣工阶段的造价管理内容，重点解析全过程造价控制要点、造价文件编制规范与成本动态管理策略。实践环节设置模拟项目各阶段造价文件编制、造价偏差分析与优化等项目，要求学生运用造价知识完成全流程实操。通过阶段性作业、案例分析考核与综合项目成果评价，为从事造价咨询、工程管理等职业筑牢专业基础。</w:t>
      </w:r>
    </w:p>
    <w:p w14:paraId="5D3935F2">
      <w:pPr>
        <w:numPr>
          <w:ilvl w:val="0"/>
          <w:numId w:val="13"/>
        </w:numPr>
        <w:overflowPunct w:val="0"/>
        <w:adjustRightInd w:val="0"/>
        <w:ind w:firstLine="640" w:firstLineChars="200"/>
        <w:rPr>
          <w:rFonts w:ascii="仿宋_GB2312"/>
        </w:rPr>
      </w:pPr>
      <w:r>
        <w:rPr>
          <w:rFonts w:hint="eastAsia" w:ascii="仿宋_GB2312"/>
        </w:rPr>
        <w:t>工程结算与审计(32学时、2学分)</w:t>
      </w:r>
    </w:p>
    <w:p w14:paraId="76D7668B">
      <w:pPr>
        <w:overflowPunct w:val="0"/>
        <w:adjustRightInd w:val="0"/>
        <w:ind w:firstLine="640" w:firstLineChars="200"/>
        <w:rPr>
          <w:rFonts w:ascii="仿宋_GB2312"/>
        </w:rPr>
      </w:pPr>
      <w:r>
        <w:rPr>
          <w:rFonts w:hint="eastAsia" w:ascii="仿宋_GB2312"/>
        </w:rPr>
        <w:t xml:space="preserve">本课程旨在通过理论讲解、案例分析、软件实操与模拟审计结合的教学模式，培养学生掌握工程结算编制与审计的核心技能，具备独立完成结算文件编制、工程量审核、价款争议处理及审计报告撰写的能力。课程涵盖工程结算基础、清单计价规范应用、结算文件编制、工程审计流程、常见审计方法及争议解决六大模块，重点解析结算条款认定、工程量计算规则、审计证据收集等核心内容。实践环节设置结算文件编制、模拟审计项目实操、价款争议案例分析等任务，要求学生完成从结算编制到审计整改的全流程。通过阶段性作业、模拟审计考核与综合案例分析的多元评价，为工程审计、造价管理等职业筑牢专业基础。 </w:t>
      </w:r>
    </w:p>
    <w:p w14:paraId="4085D656">
      <w:pPr>
        <w:numPr>
          <w:ilvl w:val="0"/>
          <w:numId w:val="13"/>
        </w:numPr>
        <w:overflowPunct w:val="0"/>
        <w:adjustRightInd w:val="0"/>
        <w:ind w:firstLine="640" w:firstLineChars="200"/>
        <w:rPr>
          <w:rFonts w:ascii="仿宋_GB2312"/>
        </w:rPr>
      </w:pPr>
      <w:r>
        <w:rPr>
          <w:rFonts w:hint="eastAsia" w:ascii="仿宋_GB2312"/>
        </w:rPr>
        <w:t>安装工程计量与计价(32学时、2学分)</w:t>
      </w:r>
    </w:p>
    <w:p w14:paraId="697C7430">
      <w:pPr>
        <w:overflowPunct w:val="0"/>
        <w:adjustRightInd w:val="0"/>
        <w:ind w:firstLine="640" w:firstLineChars="200"/>
        <w:rPr>
          <w:rFonts w:ascii="仿宋_GB2312"/>
        </w:rPr>
      </w:pPr>
      <w:r>
        <w:rPr>
          <w:rFonts w:hint="eastAsia" w:ascii="仿宋_GB2312"/>
        </w:rPr>
        <w:t xml:space="preserve">本课通过理论讲授、软件实操与工程案例结合的教学模式，培养学生掌握安装工程计量与计价的核心技能，具备独立完成给排水、电气、通风空调等专业工程量计算及造价文件编制的能力。课程涵盖安装工程计量规范、工程量清单编制、定额计价原理、广联达安装计量与计价软件应用等内容，重点解析管道、电气线路工程量计算规则、设备及材料价格组价方法。实践环节设置安装工程算量建模、计价文件编制、造价软件操作等项目，要求学生运用专业知识与软件工具，完成从图纸识读到造价成果输出的全流程。通过阶段性实操考核、项目成果验收的多元评价，为安装工程造价岗位筑牢专业基础。 </w:t>
      </w:r>
    </w:p>
    <w:p w14:paraId="66823232">
      <w:pPr>
        <w:numPr>
          <w:ilvl w:val="0"/>
          <w:numId w:val="13"/>
        </w:numPr>
        <w:overflowPunct w:val="0"/>
        <w:adjustRightInd w:val="0"/>
        <w:ind w:firstLine="640" w:firstLineChars="200"/>
        <w:rPr>
          <w:rFonts w:ascii="仿宋_GB2312"/>
        </w:rPr>
      </w:pPr>
      <w:r>
        <w:rPr>
          <w:rFonts w:hint="eastAsia" w:ascii="仿宋_GB2312"/>
        </w:rPr>
        <w:t>合同管理实务(32学时、2学分)</w:t>
      </w:r>
    </w:p>
    <w:p w14:paraId="2BCCA36C">
      <w:pPr>
        <w:overflowPunct w:val="0"/>
        <w:adjustRightInd w:val="0"/>
        <w:rPr>
          <w:rFonts w:ascii="仿宋_GB2312"/>
        </w:rPr>
      </w:pPr>
      <w:r>
        <w:rPr>
          <w:rFonts w:hint="eastAsia" w:ascii="仿宋_GB2312"/>
        </w:rPr>
        <w:t xml:space="preserve">    本课程旨在通过理论讲解、案例研讨、模拟实训与合同实操结合的教学模式，培养学生掌握合同管理全流程实务技能，具备独立完成合同起草、条款审查、履约管控及纠纷处理的专业能力。课程涵盖合同基础理论、合同订立流程、条款核心要素、履约管理要点、索赔与变更处理及纠纷解决六大模块，重点解析合同主体资格审查、关键条款拟定、风险防控策略等核心内容。实践环节设置建设工程合同模拟谈判、条款漏洞识别、索赔报告编制等实操项目，要求学生完成从合同策划到争议解决的全流程演练。通过阶段性合同文本编制、模拟谈判考核与综合案例分析的多元评价，为合同管理、法务咨询等职业筑牢实务基础。</w:t>
      </w:r>
    </w:p>
    <w:p w14:paraId="64A6385B">
      <w:pPr>
        <w:numPr>
          <w:ilvl w:val="0"/>
          <w:numId w:val="13"/>
        </w:numPr>
        <w:overflowPunct w:val="0"/>
        <w:adjustRightInd w:val="0"/>
        <w:ind w:firstLine="640" w:firstLineChars="200"/>
        <w:rPr>
          <w:rFonts w:ascii="仿宋_GB2312"/>
        </w:rPr>
      </w:pPr>
      <w:r>
        <w:rPr>
          <w:rFonts w:hint="eastAsia" w:ascii="仿宋_GB2312"/>
        </w:rPr>
        <w:t>钢筋工程计量(32学时、2学分)</w:t>
      </w:r>
    </w:p>
    <w:p w14:paraId="57CCD7E5">
      <w:pPr>
        <w:overflowPunct w:val="0"/>
        <w:adjustRightInd w:val="0"/>
        <w:ind w:firstLine="640" w:firstLineChars="200"/>
        <w:rPr>
          <w:rFonts w:ascii="仿宋_GB2312"/>
        </w:rPr>
      </w:pPr>
      <w:r>
        <w:rPr>
          <w:rFonts w:hint="eastAsia" w:ascii="仿宋_GB2312"/>
        </w:rPr>
        <w:t>本课程通过理论讲授、平法识图、软件实操与工程案例结合的教学模式，培养学生掌握钢筋工程计量的核心技能，具备独立完成钢筋平法标注识读、构件钢筋算量及钢筋配料单编制的能力。课程涵盖16G101平法图集解析、基础与主体结构钢筋构造、钢筋工程量计算规则、广联达钢筋算量软件应用等内容，重点解析梁柱节点钢筋锚固、板筋排布规则、钢筋搭接与弯钩长度计算等核心要点。实践环节设置基础筏板、框架梁柱、楼板楼梯等构件钢筋算量实操项目，要求学生运用平法知识与算量软件，完成从图纸识读到钢筋明细表输出的全流程。通过阶段性算量作业、软件建模考核与综合工程案例的多元评价，为钢筋翻样、造价计量等岗位筑牢专业基础。</w:t>
      </w:r>
    </w:p>
    <w:p w14:paraId="6883480D">
      <w:pPr>
        <w:numPr>
          <w:ilvl w:val="0"/>
          <w:numId w:val="13"/>
        </w:numPr>
        <w:overflowPunct w:val="0"/>
        <w:adjustRightInd w:val="0"/>
        <w:ind w:firstLine="640" w:firstLineChars="200"/>
        <w:rPr>
          <w:rFonts w:ascii="仿宋_GB2312"/>
        </w:rPr>
      </w:pPr>
      <w:r>
        <w:rPr>
          <w:rFonts w:hint="eastAsia" w:ascii="仿宋_GB2312"/>
        </w:rPr>
        <w:t>工程成本会计学(32学时、2学分)</w:t>
      </w:r>
    </w:p>
    <w:p w14:paraId="0F700F17">
      <w:pPr>
        <w:ind w:firstLine="640" w:firstLineChars="200"/>
        <w:rPr>
          <w:rFonts w:ascii="仿宋_GB2312"/>
        </w:rPr>
      </w:pPr>
      <w:r>
        <w:rPr>
          <w:rFonts w:hint="eastAsia" w:ascii="仿宋_GB2312"/>
        </w:rPr>
        <w:t>本课程旨在通过理论讲解、账务实操、案例分析与成本核算实践结合的教学模式，培养学生掌握工程成本会计的核算原理、方法及流程，具备独立完成工程成本归集、分配、核算及成本报表编制的能力。课程涵盖工程成本会计基础、材料与人工成本核算、机械与间接费用分摊、工程成本计算方法、成本报表编制及成本分析六大模块，重点解析定额成本法、分批法在工程场景的应用、间接费用分摊标准等核心内容。实践环节设置工程材料成本核算、人工费用分配表编制、单位工程成本计算单填制等实操项目，要求学生完成从原始凭证到成本报表的全流程核算。通过阶段性会计凭证填制、成本计算考核与综合成本核算项目的多元评价，为工程成本核算、财务会计等职业筑牢专业基础。</w:t>
      </w:r>
    </w:p>
    <w:p w14:paraId="58FF9C34">
      <w:pPr>
        <w:numPr>
          <w:ilvl w:val="0"/>
          <w:numId w:val="14"/>
        </w:numPr>
        <w:overflowPunct w:val="0"/>
        <w:adjustRightInd w:val="0"/>
        <w:ind w:firstLine="640" w:firstLineChars="200"/>
        <w:rPr>
          <w:rFonts w:eastAsia="黑体"/>
          <w:szCs w:val="32"/>
        </w:rPr>
      </w:pPr>
      <w:r>
        <w:rPr>
          <w:rFonts w:hint="eastAsia" w:eastAsia="黑体"/>
          <w:szCs w:val="32"/>
        </w:rPr>
        <w:t>教学进程总体安排</w:t>
      </w:r>
    </w:p>
    <w:p w14:paraId="61184F3B">
      <w:pPr>
        <w:numPr>
          <w:ilvl w:val="0"/>
          <w:numId w:val="15"/>
        </w:numPr>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教学进程安排表</w:t>
      </w:r>
    </w:p>
    <w:p w14:paraId="09932773">
      <w:pPr>
        <w:keepNext w:val="0"/>
        <w:keepLines w:val="0"/>
        <w:pageBreakBefore w:val="0"/>
        <w:widowControl w:val="0"/>
        <w:kinsoku/>
        <w:wordWrap/>
        <w:overflowPunct w:val="0"/>
        <w:topLinePunct w:val="0"/>
        <w:autoSpaceDE/>
        <w:autoSpaceDN/>
        <w:bidi w:val="0"/>
        <w:adjustRightInd w:val="0"/>
        <w:snapToGrid/>
        <w:spacing w:before="157" w:before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 工程造价</w:t>
      </w:r>
      <w:r>
        <w:rPr>
          <w:rFonts w:hint="eastAsia" w:ascii="仿宋_GB2312" w:hAnsi="仿宋_GB2312" w:eastAsia="仿宋_GB2312" w:cs="仿宋_GB2312"/>
          <w:b/>
          <w:bCs/>
          <w:sz w:val="28"/>
          <w:szCs w:val="28"/>
          <w:lang w:val="en-US" w:eastAsia="zh-CN"/>
        </w:rPr>
        <w:t>专业教学进程安排表</w:t>
      </w:r>
    </w:p>
    <w:tbl>
      <w:tblPr>
        <w:tblStyle w:val="10"/>
        <w:tblW w:w="11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881"/>
        <w:gridCol w:w="3416"/>
        <w:gridCol w:w="542"/>
        <w:gridCol w:w="452"/>
        <w:gridCol w:w="484"/>
        <w:gridCol w:w="547"/>
        <w:gridCol w:w="547"/>
        <w:gridCol w:w="547"/>
        <w:gridCol w:w="508"/>
        <w:gridCol w:w="414"/>
        <w:gridCol w:w="414"/>
        <w:gridCol w:w="414"/>
        <w:gridCol w:w="576"/>
        <w:gridCol w:w="576"/>
      </w:tblGrid>
      <w:tr w14:paraId="27A57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226C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EBC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5E4C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307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87E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CC37D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F3AD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1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467E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9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8EBA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7BFF6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5AD9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47004">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4829F">
            <w:pPr>
              <w:jc w:val="center"/>
              <w:rPr>
                <w:rFonts w:hint="eastAsia" w:ascii="宋体" w:hAnsi="宋体" w:eastAsia="宋体" w:cs="宋体"/>
                <w:b/>
                <w:bCs/>
                <w:i w:val="0"/>
                <w:iCs w:val="0"/>
                <w:color w:val="000000"/>
                <w:sz w:val="18"/>
                <w:szCs w:val="18"/>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101E2">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F8311">
            <w:pPr>
              <w:jc w:val="center"/>
              <w:rPr>
                <w:rFonts w:hint="eastAsia" w:ascii="宋体" w:hAnsi="宋体" w:eastAsia="宋体" w:cs="宋体"/>
                <w:b/>
                <w:bCs/>
                <w:i w:val="0"/>
                <w:iCs w:val="0"/>
                <w:color w:val="000000"/>
                <w:sz w:val="18"/>
                <w:szCs w:val="18"/>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632B2">
            <w:pPr>
              <w:jc w:val="center"/>
              <w:rPr>
                <w:rFonts w:hint="eastAsia" w:ascii="宋体" w:hAnsi="宋体" w:eastAsia="宋体" w:cs="宋体"/>
                <w:b/>
                <w:bCs/>
                <w:i w:val="0"/>
                <w:iCs w:val="0"/>
                <w:color w:val="000000"/>
                <w:sz w:val="16"/>
                <w:szCs w:val="16"/>
                <w:u w:val="none"/>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535D3">
            <w:pPr>
              <w:jc w:val="center"/>
              <w:rPr>
                <w:rFonts w:hint="eastAsia" w:ascii="宋体" w:hAnsi="宋体" w:eastAsia="宋体" w:cs="宋体"/>
                <w:b/>
                <w:bCs/>
                <w:i w:val="0"/>
                <w:iCs w:val="0"/>
                <w:color w:val="000000"/>
                <w:sz w:val="16"/>
                <w:szCs w:val="16"/>
                <w:u w:val="none"/>
              </w:rPr>
            </w:pP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7DF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52A1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34F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2F0E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47C7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957B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40A8B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A9AA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8572C">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BEB88">
            <w:pPr>
              <w:jc w:val="center"/>
              <w:rPr>
                <w:rFonts w:hint="eastAsia" w:ascii="宋体" w:hAnsi="宋体" w:eastAsia="宋体" w:cs="宋体"/>
                <w:b/>
                <w:bCs/>
                <w:i w:val="0"/>
                <w:iCs w:val="0"/>
                <w:color w:val="000000"/>
                <w:sz w:val="18"/>
                <w:szCs w:val="18"/>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C4C9D">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82C66">
            <w:pPr>
              <w:jc w:val="center"/>
              <w:rPr>
                <w:rFonts w:hint="eastAsia" w:ascii="宋体" w:hAnsi="宋体" w:eastAsia="宋体" w:cs="宋体"/>
                <w:b/>
                <w:bCs/>
                <w:i w:val="0"/>
                <w:iCs w:val="0"/>
                <w:color w:val="000000"/>
                <w:sz w:val="18"/>
                <w:szCs w:val="18"/>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8E524">
            <w:pPr>
              <w:jc w:val="center"/>
              <w:rPr>
                <w:rFonts w:hint="eastAsia" w:ascii="宋体" w:hAnsi="宋体" w:eastAsia="宋体" w:cs="宋体"/>
                <w:b/>
                <w:bCs/>
                <w:i w:val="0"/>
                <w:iCs w:val="0"/>
                <w:color w:val="000000"/>
                <w:sz w:val="16"/>
                <w:szCs w:val="16"/>
                <w:u w:val="none"/>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9F980">
            <w:pPr>
              <w:jc w:val="center"/>
              <w:rPr>
                <w:rFonts w:hint="eastAsia" w:ascii="宋体" w:hAnsi="宋体" w:eastAsia="宋体" w:cs="宋体"/>
                <w:b/>
                <w:bCs/>
                <w:i w:val="0"/>
                <w:iCs w:val="0"/>
                <w:color w:val="000000"/>
                <w:sz w:val="16"/>
                <w:szCs w:val="16"/>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35573">
            <w:pPr>
              <w:jc w:val="center"/>
              <w:rPr>
                <w:rFonts w:hint="eastAsia" w:ascii="宋体" w:hAnsi="宋体" w:eastAsia="宋体" w:cs="宋体"/>
                <w:b/>
                <w:bCs/>
                <w:i w:val="0"/>
                <w:iCs w:val="0"/>
                <w:color w:val="000000"/>
                <w:sz w:val="18"/>
                <w:szCs w:val="18"/>
                <w:u w:val="none"/>
              </w:rPr>
            </w:pPr>
          </w:p>
        </w:tc>
        <w:tc>
          <w:tcPr>
            <w:tcW w:w="5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3B212">
            <w:pPr>
              <w:jc w:val="center"/>
              <w:rPr>
                <w:rFonts w:hint="eastAsia" w:ascii="宋体" w:hAnsi="宋体" w:eastAsia="宋体" w:cs="宋体"/>
                <w:b/>
                <w:bCs/>
                <w:i w:val="0"/>
                <w:iCs w:val="0"/>
                <w:color w:val="000000"/>
                <w:sz w:val="18"/>
                <w:szCs w:val="18"/>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EE2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E2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4708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733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721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AC30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D64B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EF21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5E94B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731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EC873A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33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F3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C39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7F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AF1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F69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84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DF8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28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699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8BFA">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53E6D">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54E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792E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A1B1E">
            <w:pPr>
              <w:jc w:val="center"/>
              <w:rPr>
                <w:rFonts w:hint="eastAsia" w:ascii="宋体" w:hAnsi="宋体" w:eastAsia="宋体" w:cs="宋体"/>
                <w:i w:val="0"/>
                <w:iCs w:val="0"/>
                <w:color w:val="000000"/>
                <w:sz w:val="16"/>
                <w:szCs w:val="16"/>
                <w:u w:val="none"/>
              </w:rPr>
            </w:pPr>
          </w:p>
        </w:tc>
      </w:tr>
      <w:tr w14:paraId="2AA0C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23D8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E1ECB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E6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EB0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3C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F0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B04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3C9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164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0C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E8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CCDE2">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970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6E63E">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60B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38DB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48104">
            <w:pPr>
              <w:jc w:val="center"/>
              <w:rPr>
                <w:rFonts w:hint="eastAsia" w:ascii="宋体" w:hAnsi="宋体" w:eastAsia="宋体" w:cs="宋体"/>
                <w:i w:val="0"/>
                <w:iCs w:val="0"/>
                <w:color w:val="000000"/>
                <w:sz w:val="16"/>
                <w:szCs w:val="16"/>
                <w:u w:val="none"/>
              </w:rPr>
            </w:pPr>
          </w:p>
        </w:tc>
      </w:tr>
      <w:tr w14:paraId="238FB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13ED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1F563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F3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C56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659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F8D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D4F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FE5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EA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17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7E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09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05D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B311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B3B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633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05CA">
            <w:pPr>
              <w:jc w:val="center"/>
              <w:rPr>
                <w:rFonts w:hint="eastAsia" w:ascii="宋体" w:hAnsi="宋体" w:eastAsia="宋体" w:cs="宋体"/>
                <w:i w:val="0"/>
                <w:iCs w:val="0"/>
                <w:color w:val="000000"/>
                <w:sz w:val="16"/>
                <w:szCs w:val="16"/>
                <w:u w:val="none"/>
              </w:rPr>
            </w:pPr>
          </w:p>
        </w:tc>
      </w:tr>
      <w:tr w14:paraId="2E2F3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06A6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F4181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3A2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1CA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79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3C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289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B3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CFC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84D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55B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F8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E209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6862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68F4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4715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32518">
            <w:pPr>
              <w:jc w:val="center"/>
              <w:rPr>
                <w:rFonts w:hint="eastAsia" w:ascii="宋体" w:hAnsi="宋体" w:eastAsia="宋体" w:cs="宋体"/>
                <w:i w:val="0"/>
                <w:iCs w:val="0"/>
                <w:color w:val="000000"/>
                <w:sz w:val="16"/>
                <w:szCs w:val="16"/>
                <w:u w:val="none"/>
              </w:rPr>
            </w:pPr>
          </w:p>
        </w:tc>
      </w:tr>
      <w:tr w14:paraId="6164B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7A52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5A1CF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C95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526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C53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F7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94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F3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338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93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1A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7A6E8">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EC0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839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F49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595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5EDA2">
            <w:pPr>
              <w:jc w:val="center"/>
              <w:rPr>
                <w:rFonts w:hint="eastAsia" w:ascii="宋体" w:hAnsi="宋体" w:eastAsia="宋体" w:cs="宋体"/>
                <w:i w:val="0"/>
                <w:iCs w:val="0"/>
                <w:color w:val="000000"/>
                <w:sz w:val="16"/>
                <w:szCs w:val="16"/>
                <w:u w:val="none"/>
              </w:rPr>
            </w:pPr>
          </w:p>
        </w:tc>
      </w:tr>
      <w:tr w14:paraId="73D3C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3324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4C6E2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BD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C24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AA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574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C7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5E8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BD2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5BD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3B7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D5A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2A7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613D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3036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F9C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DDF9">
            <w:pPr>
              <w:jc w:val="center"/>
              <w:rPr>
                <w:rFonts w:hint="eastAsia" w:ascii="宋体" w:hAnsi="宋体" w:eastAsia="宋体" w:cs="宋体"/>
                <w:i w:val="0"/>
                <w:iCs w:val="0"/>
                <w:color w:val="000000"/>
                <w:sz w:val="16"/>
                <w:szCs w:val="16"/>
                <w:u w:val="none"/>
              </w:rPr>
            </w:pPr>
          </w:p>
        </w:tc>
      </w:tr>
      <w:tr w14:paraId="675FE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7B28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35E04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F5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5D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C3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48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7A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45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38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324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53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EDE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0F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0C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5C3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6456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7814">
            <w:pPr>
              <w:jc w:val="center"/>
              <w:rPr>
                <w:rFonts w:hint="eastAsia" w:ascii="宋体" w:hAnsi="宋体" w:eastAsia="宋体" w:cs="宋体"/>
                <w:i w:val="0"/>
                <w:iCs w:val="0"/>
                <w:color w:val="000000"/>
                <w:sz w:val="16"/>
                <w:szCs w:val="16"/>
                <w:u w:val="none"/>
              </w:rPr>
            </w:pPr>
          </w:p>
        </w:tc>
      </w:tr>
      <w:tr w14:paraId="1D646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A925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557C1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F3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754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ED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FE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37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90A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E53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FC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B14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5D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DE5B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74E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6F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995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3D49">
            <w:pPr>
              <w:jc w:val="center"/>
              <w:rPr>
                <w:rFonts w:hint="eastAsia" w:ascii="宋体" w:hAnsi="宋体" w:eastAsia="宋体" w:cs="宋体"/>
                <w:i w:val="0"/>
                <w:iCs w:val="0"/>
                <w:color w:val="000000"/>
                <w:sz w:val="16"/>
                <w:szCs w:val="16"/>
                <w:u w:val="none"/>
              </w:rPr>
            </w:pPr>
          </w:p>
        </w:tc>
      </w:tr>
      <w:tr w14:paraId="797D9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6BDA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9DBE1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7F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730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D8C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0E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1A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FB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B61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C1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7B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B0B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FA0C8">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4693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547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A29F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1BC7">
            <w:pPr>
              <w:jc w:val="center"/>
              <w:rPr>
                <w:rFonts w:hint="eastAsia" w:ascii="宋体" w:hAnsi="宋体" w:eastAsia="宋体" w:cs="宋体"/>
                <w:i w:val="0"/>
                <w:iCs w:val="0"/>
                <w:color w:val="000000"/>
                <w:sz w:val="16"/>
                <w:szCs w:val="16"/>
                <w:u w:val="none"/>
              </w:rPr>
            </w:pPr>
          </w:p>
        </w:tc>
      </w:tr>
      <w:tr w14:paraId="6A63C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CABD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14979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ED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5FD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0B1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BA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FC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2C7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FA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59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FD0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B1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721F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3EA9">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F3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1201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CEB01">
            <w:pPr>
              <w:jc w:val="center"/>
              <w:rPr>
                <w:rFonts w:hint="eastAsia" w:ascii="宋体" w:hAnsi="宋体" w:eastAsia="宋体" w:cs="宋体"/>
                <w:i w:val="0"/>
                <w:iCs w:val="0"/>
                <w:color w:val="000000"/>
                <w:sz w:val="16"/>
                <w:szCs w:val="16"/>
                <w:u w:val="none"/>
              </w:rPr>
            </w:pPr>
          </w:p>
        </w:tc>
      </w:tr>
      <w:tr w14:paraId="3C86F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9E8D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68AE11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3D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CB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76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9D4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DB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041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E79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971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89F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274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AD002">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518C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6A41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06A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6C6C">
            <w:pPr>
              <w:jc w:val="center"/>
              <w:rPr>
                <w:rFonts w:hint="eastAsia" w:ascii="宋体" w:hAnsi="宋体" w:eastAsia="宋体" w:cs="宋体"/>
                <w:i w:val="0"/>
                <w:iCs w:val="0"/>
                <w:color w:val="000000"/>
                <w:sz w:val="16"/>
                <w:szCs w:val="16"/>
                <w:u w:val="none"/>
              </w:rPr>
            </w:pPr>
          </w:p>
        </w:tc>
      </w:tr>
      <w:tr w14:paraId="4D8B2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9FAE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13C335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C9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3F0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DF4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87A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A7E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66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DFF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E3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48A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E9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29B2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F7B02">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21D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8D0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A25F">
            <w:pPr>
              <w:jc w:val="center"/>
              <w:rPr>
                <w:rFonts w:hint="eastAsia" w:ascii="宋体" w:hAnsi="宋体" w:eastAsia="宋体" w:cs="宋体"/>
                <w:i w:val="0"/>
                <w:iCs w:val="0"/>
                <w:color w:val="000000"/>
                <w:sz w:val="16"/>
                <w:szCs w:val="16"/>
                <w:u w:val="none"/>
              </w:rPr>
            </w:pPr>
          </w:p>
        </w:tc>
      </w:tr>
      <w:tr w14:paraId="4B71F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9145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391F5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A8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437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1E9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6D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3A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524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297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98E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FDE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B18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570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BECAC">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3815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99C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40E80">
            <w:pPr>
              <w:jc w:val="center"/>
              <w:rPr>
                <w:rFonts w:hint="eastAsia" w:ascii="宋体" w:hAnsi="宋体" w:eastAsia="宋体" w:cs="宋体"/>
                <w:i w:val="0"/>
                <w:iCs w:val="0"/>
                <w:color w:val="000000"/>
                <w:sz w:val="16"/>
                <w:szCs w:val="16"/>
                <w:u w:val="none"/>
              </w:rPr>
            </w:pPr>
          </w:p>
        </w:tc>
      </w:tr>
      <w:tr w14:paraId="7C42A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B3D4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6F7C7A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F15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E6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9FF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E1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4C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A86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79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BF3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7BB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614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DD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428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D4C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DF60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68FB">
            <w:pPr>
              <w:jc w:val="center"/>
              <w:rPr>
                <w:rFonts w:hint="eastAsia" w:ascii="宋体" w:hAnsi="宋体" w:eastAsia="宋体" w:cs="宋体"/>
                <w:i w:val="0"/>
                <w:iCs w:val="0"/>
                <w:color w:val="000000"/>
                <w:sz w:val="16"/>
                <w:szCs w:val="16"/>
                <w:u w:val="none"/>
              </w:rPr>
            </w:pPr>
          </w:p>
        </w:tc>
      </w:tr>
      <w:tr w14:paraId="558EA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2B3F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C98C4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6B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A2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DA7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2DF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37A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767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6E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E62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FF6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84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C90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BEB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8EA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6E55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0B0FA">
            <w:pPr>
              <w:jc w:val="center"/>
              <w:rPr>
                <w:rFonts w:hint="eastAsia" w:ascii="宋体" w:hAnsi="宋体" w:eastAsia="宋体" w:cs="宋体"/>
                <w:i w:val="0"/>
                <w:iCs w:val="0"/>
                <w:color w:val="000000"/>
                <w:sz w:val="16"/>
                <w:szCs w:val="16"/>
                <w:u w:val="none"/>
              </w:rPr>
            </w:pPr>
          </w:p>
        </w:tc>
      </w:tr>
      <w:tr w14:paraId="77712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0FDC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85A0B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35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22A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915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B93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52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472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6A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5A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394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02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A5BB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A073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040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4BC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238F">
            <w:pPr>
              <w:jc w:val="center"/>
              <w:rPr>
                <w:rFonts w:hint="eastAsia" w:ascii="宋体" w:hAnsi="宋体" w:eastAsia="宋体" w:cs="宋体"/>
                <w:i w:val="0"/>
                <w:iCs w:val="0"/>
                <w:color w:val="000000"/>
                <w:sz w:val="16"/>
                <w:szCs w:val="16"/>
                <w:u w:val="none"/>
              </w:rPr>
            </w:pPr>
          </w:p>
        </w:tc>
      </w:tr>
      <w:tr w14:paraId="33795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587C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4EBE40">
            <w:pPr>
              <w:jc w:val="center"/>
              <w:rPr>
                <w:rFonts w:hint="eastAsia" w:ascii="宋体" w:hAnsi="宋体" w:eastAsia="宋体" w:cs="宋体"/>
                <w:b/>
                <w:bCs/>
                <w:i w:val="0"/>
                <w:iCs w:val="0"/>
                <w:color w:val="000000"/>
                <w:sz w:val="16"/>
                <w:szCs w:val="16"/>
                <w:u w:val="none"/>
              </w:rPr>
            </w:pPr>
          </w:p>
        </w:tc>
        <w:tc>
          <w:tcPr>
            <w:tcW w:w="4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09C7D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3D2A">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16AF1">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A7B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703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63C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85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342</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5C1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65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18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7EB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58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CAB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16A9">
            <w:pPr>
              <w:jc w:val="center"/>
              <w:rPr>
                <w:rFonts w:hint="eastAsia" w:ascii="宋体" w:hAnsi="宋体" w:eastAsia="宋体" w:cs="宋体"/>
                <w:i w:val="0"/>
                <w:iCs w:val="0"/>
                <w:color w:val="000000"/>
                <w:sz w:val="16"/>
                <w:szCs w:val="16"/>
                <w:u w:val="none"/>
              </w:rPr>
            </w:pPr>
          </w:p>
        </w:tc>
      </w:tr>
      <w:tr w14:paraId="60D2D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853A5">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97950F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336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9E1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89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E50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9C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363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C1B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EA1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519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C2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2D9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CADB26">
            <w:pPr>
              <w:rPr>
                <w:rFonts w:hint="eastAsia" w:ascii="宋体" w:hAnsi="宋体" w:eastAsia="宋体" w:cs="宋体"/>
                <w:i w:val="0"/>
                <w:iCs w:val="0"/>
                <w:color w:val="000000"/>
                <w:sz w:val="24"/>
                <w:szCs w:val="24"/>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BDA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0C3E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637F">
            <w:pPr>
              <w:jc w:val="center"/>
              <w:rPr>
                <w:rFonts w:hint="eastAsia" w:ascii="宋体" w:hAnsi="宋体" w:eastAsia="宋体" w:cs="宋体"/>
                <w:i w:val="0"/>
                <w:iCs w:val="0"/>
                <w:color w:val="000000"/>
                <w:sz w:val="16"/>
                <w:szCs w:val="16"/>
                <w:u w:val="none"/>
              </w:rPr>
            </w:pPr>
          </w:p>
        </w:tc>
      </w:tr>
      <w:tr w14:paraId="48877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B3EE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63126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6F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756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9B1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时间管理</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45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7E3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CF2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62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95A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D52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8A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D8DAE">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5ABD6E">
            <w:pPr>
              <w:rPr>
                <w:rFonts w:hint="eastAsia" w:ascii="宋体" w:hAnsi="宋体" w:eastAsia="宋体" w:cs="宋体"/>
                <w:i w:val="0"/>
                <w:iCs w:val="0"/>
                <w:color w:val="000000"/>
                <w:sz w:val="24"/>
                <w:szCs w:val="24"/>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B4BB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74A5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0BF1">
            <w:pPr>
              <w:jc w:val="center"/>
              <w:rPr>
                <w:rFonts w:hint="eastAsia" w:ascii="宋体" w:hAnsi="宋体" w:eastAsia="宋体" w:cs="宋体"/>
                <w:i w:val="0"/>
                <w:iCs w:val="0"/>
                <w:color w:val="000000"/>
                <w:sz w:val="16"/>
                <w:szCs w:val="16"/>
                <w:u w:val="none"/>
              </w:rPr>
            </w:pPr>
          </w:p>
        </w:tc>
      </w:tr>
      <w:tr w14:paraId="7CF1C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CC08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CDA14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4C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B1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204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沟通的艺术</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6F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37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A33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110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6DD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EE2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8B71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ED4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4328">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5F35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E994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C3D0">
            <w:pPr>
              <w:jc w:val="center"/>
              <w:rPr>
                <w:rFonts w:hint="eastAsia" w:ascii="宋体" w:hAnsi="宋体" w:eastAsia="宋体" w:cs="宋体"/>
                <w:i w:val="0"/>
                <w:iCs w:val="0"/>
                <w:color w:val="000000"/>
                <w:sz w:val="16"/>
                <w:szCs w:val="16"/>
                <w:u w:val="none"/>
              </w:rPr>
            </w:pPr>
          </w:p>
        </w:tc>
      </w:tr>
      <w:tr w14:paraId="2C091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ED71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145E9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DB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59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8D4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95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99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F3C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AA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10A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BB6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4981E">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7C1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819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1B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6A62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D1BA">
            <w:pPr>
              <w:jc w:val="center"/>
              <w:rPr>
                <w:rFonts w:hint="eastAsia" w:ascii="宋体" w:hAnsi="宋体" w:eastAsia="宋体" w:cs="宋体"/>
                <w:i w:val="0"/>
                <w:iCs w:val="0"/>
                <w:color w:val="000000"/>
                <w:sz w:val="16"/>
                <w:szCs w:val="16"/>
                <w:u w:val="none"/>
              </w:rPr>
            </w:pPr>
          </w:p>
        </w:tc>
      </w:tr>
      <w:tr w14:paraId="03EF7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9CAA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519D48">
            <w:pPr>
              <w:jc w:val="center"/>
              <w:rPr>
                <w:rFonts w:hint="eastAsia" w:ascii="宋体" w:hAnsi="宋体" w:eastAsia="宋体" w:cs="宋体"/>
                <w:b/>
                <w:bCs/>
                <w:i w:val="0"/>
                <w:iCs w:val="0"/>
                <w:color w:val="000000"/>
                <w:sz w:val="16"/>
                <w:szCs w:val="16"/>
                <w:u w:val="none"/>
              </w:rPr>
            </w:pPr>
          </w:p>
        </w:tc>
        <w:tc>
          <w:tcPr>
            <w:tcW w:w="4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C3E97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DE5C5">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374F9">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60E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11F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DD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EE2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B02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0C1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F5F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16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F32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ACAF4">
            <w:pPr>
              <w:jc w:val="center"/>
              <w:rPr>
                <w:rFonts w:hint="eastAsia" w:ascii="宋体" w:hAnsi="宋体" w:eastAsia="宋体" w:cs="宋体"/>
                <w:i w:val="0"/>
                <w:iCs w:val="0"/>
                <w:color w:val="000000"/>
                <w:sz w:val="16"/>
                <w:szCs w:val="16"/>
                <w:u w:val="none"/>
              </w:rPr>
            </w:pPr>
          </w:p>
        </w:tc>
      </w:tr>
      <w:tr w14:paraId="748CA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87B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C6B76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C5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F53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68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建筑材料</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78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29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82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A62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02A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033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12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D98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745D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1504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82CB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3C93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F5919">
            <w:pPr>
              <w:jc w:val="center"/>
              <w:rPr>
                <w:rFonts w:hint="eastAsia" w:ascii="宋体" w:hAnsi="宋体" w:eastAsia="宋体" w:cs="宋体"/>
                <w:i w:val="0"/>
                <w:iCs w:val="0"/>
                <w:color w:val="000000"/>
                <w:sz w:val="16"/>
                <w:szCs w:val="16"/>
                <w:u w:val="none"/>
              </w:rPr>
            </w:pPr>
          </w:p>
        </w:tc>
      </w:tr>
      <w:tr w14:paraId="0FEF1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F0A0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93AA8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A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92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36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建筑制图与识图</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D1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091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016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215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AC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1E3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44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A11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DB8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1031">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3D4B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717F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A59DB">
            <w:pPr>
              <w:jc w:val="center"/>
              <w:rPr>
                <w:rFonts w:hint="eastAsia" w:ascii="宋体" w:hAnsi="宋体" w:eastAsia="宋体" w:cs="宋体"/>
                <w:i w:val="0"/>
                <w:iCs w:val="0"/>
                <w:color w:val="000000"/>
                <w:sz w:val="16"/>
                <w:szCs w:val="16"/>
                <w:u w:val="none"/>
              </w:rPr>
            </w:pPr>
          </w:p>
        </w:tc>
      </w:tr>
      <w:tr w14:paraId="42346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5CA1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CD377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BC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B1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EFE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计算机辅助设计CAD</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5F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C3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351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D53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AA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08D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44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03E4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1F8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2F051">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E3F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9230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B45F">
            <w:pPr>
              <w:jc w:val="center"/>
              <w:rPr>
                <w:rFonts w:hint="eastAsia" w:ascii="宋体" w:hAnsi="宋体" w:eastAsia="宋体" w:cs="宋体"/>
                <w:i w:val="0"/>
                <w:iCs w:val="0"/>
                <w:color w:val="000000"/>
                <w:sz w:val="16"/>
                <w:szCs w:val="16"/>
                <w:u w:val="none"/>
              </w:rPr>
            </w:pPr>
          </w:p>
        </w:tc>
      </w:tr>
      <w:tr w14:paraId="1534C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737D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C960B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15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81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B2A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工程测量</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7B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F96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D11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26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B3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12A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048DC">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BB7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1230">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D1FB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52B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C8DDB">
            <w:pPr>
              <w:jc w:val="center"/>
              <w:rPr>
                <w:rFonts w:hint="eastAsia" w:ascii="宋体" w:hAnsi="宋体" w:eastAsia="宋体" w:cs="宋体"/>
                <w:i w:val="0"/>
                <w:iCs w:val="0"/>
                <w:color w:val="000000"/>
                <w:sz w:val="16"/>
                <w:szCs w:val="16"/>
                <w:u w:val="none"/>
              </w:rPr>
            </w:pPr>
          </w:p>
        </w:tc>
      </w:tr>
      <w:tr w14:paraId="564AD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49E8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38092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DF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BF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730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建筑构造</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1A8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4D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E20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8D5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64C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D74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68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967E0">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46020">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F1DC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0278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2E10B">
            <w:pPr>
              <w:jc w:val="center"/>
              <w:rPr>
                <w:rFonts w:hint="eastAsia" w:ascii="宋体" w:hAnsi="宋体" w:eastAsia="宋体" w:cs="宋体"/>
                <w:i w:val="0"/>
                <w:iCs w:val="0"/>
                <w:color w:val="000000"/>
                <w:sz w:val="16"/>
                <w:szCs w:val="16"/>
                <w:u w:val="none"/>
              </w:rPr>
            </w:pPr>
          </w:p>
        </w:tc>
      </w:tr>
      <w:tr w14:paraId="29346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5292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17041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3D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6A3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B8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建筑力学与结构</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4D8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F3A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31D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CB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DD3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4F4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EFBA">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1D1A3">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855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678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FF85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1DEA">
            <w:pPr>
              <w:jc w:val="center"/>
              <w:rPr>
                <w:rFonts w:hint="eastAsia" w:ascii="宋体" w:hAnsi="宋体" w:eastAsia="宋体" w:cs="宋体"/>
                <w:i w:val="0"/>
                <w:iCs w:val="0"/>
                <w:color w:val="000000"/>
                <w:sz w:val="16"/>
                <w:szCs w:val="16"/>
                <w:u w:val="none"/>
              </w:rPr>
            </w:pPr>
          </w:p>
        </w:tc>
      </w:tr>
      <w:tr w14:paraId="11B9E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C656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4D048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09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895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83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建筑工程施工工艺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2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A8C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592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2CC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79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475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4DDEE">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3461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B01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FE9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CAA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A7559">
            <w:pPr>
              <w:jc w:val="center"/>
              <w:rPr>
                <w:rFonts w:hint="eastAsia" w:ascii="宋体" w:hAnsi="宋体" w:eastAsia="宋体" w:cs="宋体"/>
                <w:i w:val="0"/>
                <w:iCs w:val="0"/>
                <w:color w:val="000000"/>
                <w:sz w:val="16"/>
                <w:szCs w:val="16"/>
                <w:u w:val="none"/>
              </w:rPr>
            </w:pPr>
          </w:p>
        </w:tc>
      </w:tr>
      <w:tr w14:paraId="30DE2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1783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42105E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845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87E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79C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建筑工程经济</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52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BFA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0A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06B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3C7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2AD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34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EAE40">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6E0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266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5B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026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63AE9">
            <w:pPr>
              <w:jc w:val="center"/>
              <w:rPr>
                <w:rFonts w:hint="eastAsia" w:ascii="宋体" w:hAnsi="宋体" w:eastAsia="宋体" w:cs="宋体"/>
                <w:i w:val="0"/>
                <w:iCs w:val="0"/>
                <w:color w:val="000000"/>
                <w:sz w:val="16"/>
                <w:szCs w:val="16"/>
                <w:u w:val="none"/>
              </w:rPr>
            </w:pPr>
          </w:p>
        </w:tc>
      </w:tr>
      <w:tr w14:paraId="16737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FCB4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9A5FC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0A3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A1D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JZ040309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5F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BIM概论与三维建模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36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D2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BAE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399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BBD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3B2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100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7671">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45C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E5F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D85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5E30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D37B3">
            <w:pPr>
              <w:jc w:val="center"/>
              <w:rPr>
                <w:rFonts w:hint="eastAsia" w:ascii="宋体" w:hAnsi="宋体" w:eastAsia="宋体" w:cs="宋体"/>
                <w:i w:val="0"/>
                <w:iCs w:val="0"/>
                <w:color w:val="000000"/>
                <w:sz w:val="16"/>
                <w:szCs w:val="16"/>
                <w:u w:val="none"/>
              </w:rPr>
            </w:pPr>
          </w:p>
        </w:tc>
      </w:tr>
      <w:tr w14:paraId="654C4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3C7A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D5A634C">
            <w:pPr>
              <w:jc w:val="center"/>
              <w:rPr>
                <w:rFonts w:hint="eastAsia" w:ascii="宋体" w:hAnsi="宋体" w:eastAsia="宋体" w:cs="宋体"/>
                <w:b/>
                <w:bCs/>
                <w:i w:val="0"/>
                <w:iCs w:val="0"/>
                <w:color w:val="000000"/>
                <w:sz w:val="16"/>
                <w:szCs w:val="16"/>
                <w:u w:val="none"/>
              </w:rPr>
            </w:pPr>
          </w:p>
        </w:tc>
        <w:tc>
          <w:tcPr>
            <w:tcW w:w="4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DA0A9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8635">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FE83A">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9F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39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907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624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94A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258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65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0CF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10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CE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10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76C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1A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962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B100">
            <w:pPr>
              <w:jc w:val="center"/>
              <w:rPr>
                <w:rFonts w:hint="eastAsia" w:ascii="宋体" w:hAnsi="宋体" w:eastAsia="宋体" w:cs="宋体"/>
                <w:i w:val="0"/>
                <w:iCs w:val="0"/>
                <w:color w:val="000000"/>
                <w:sz w:val="16"/>
                <w:szCs w:val="16"/>
                <w:u w:val="none"/>
              </w:rPr>
            </w:pPr>
          </w:p>
        </w:tc>
      </w:tr>
      <w:tr w14:paraId="609AC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4920C">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C2060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94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F04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D87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建设工程定额原理与实务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31C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493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205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6ED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9D8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EEA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AF1E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EB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6368">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D5BC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C427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F13C">
            <w:pPr>
              <w:jc w:val="center"/>
              <w:rPr>
                <w:rFonts w:hint="eastAsia" w:ascii="宋体" w:hAnsi="宋体" w:eastAsia="宋体" w:cs="宋体"/>
                <w:i w:val="0"/>
                <w:iCs w:val="0"/>
                <w:color w:val="000000"/>
                <w:sz w:val="16"/>
                <w:szCs w:val="16"/>
                <w:u w:val="none"/>
              </w:rPr>
            </w:pPr>
          </w:p>
        </w:tc>
      </w:tr>
      <w:tr w14:paraId="317F6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3F1E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E9E21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71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75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F70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建筑工程计量与计价</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7A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17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6D5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62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96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30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FD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B740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60A2A">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4A7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DEC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801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0883">
            <w:pPr>
              <w:jc w:val="center"/>
              <w:rPr>
                <w:rFonts w:hint="eastAsia" w:ascii="宋体" w:hAnsi="宋体" w:eastAsia="宋体" w:cs="宋体"/>
                <w:i w:val="0"/>
                <w:iCs w:val="0"/>
                <w:color w:val="000000"/>
                <w:sz w:val="16"/>
                <w:szCs w:val="16"/>
                <w:u w:val="none"/>
              </w:rPr>
            </w:pPr>
          </w:p>
        </w:tc>
      </w:tr>
      <w:tr w14:paraId="3E602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B1C0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85B28E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96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9CD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E43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工程造价控制与管理</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BD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FE7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98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0BD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F9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B0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0266D">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2DC0C">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84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D55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377A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C24D">
            <w:pPr>
              <w:jc w:val="center"/>
              <w:rPr>
                <w:rFonts w:hint="eastAsia" w:ascii="宋体" w:hAnsi="宋体" w:eastAsia="宋体" w:cs="宋体"/>
                <w:i w:val="0"/>
                <w:iCs w:val="0"/>
                <w:color w:val="000000"/>
                <w:sz w:val="16"/>
                <w:szCs w:val="16"/>
                <w:u w:val="none"/>
              </w:rPr>
            </w:pPr>
          </w:p>
        </w:tc>
      </w:tr>
      <w:tr w14:paraId="43CF8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4727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70C5B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10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A50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D2E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招投标与合同管理</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CF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A40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D0B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9E1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CD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7C3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08A9">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E8C3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392D8">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AF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88A3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AE51">
            <w:pPr>
              <w:jc w:val="center"/>
              <w:rPr>
                <w:rFonts w:hint="eastAsia" w:ascii="宋体" w:hAnsi="宋体" w:eastAsia="宋体" w:cs="宋体"/>
                <w:i w:val="0"/>
                <w:iCs w:val="0"/>
                <w:color w:val="000000"/>
                <w:sz w:val="16"/>
                <w:szCs w:val="16"/>
                <w:u w:val="none"/>
              </w:rPr>
            </w:pPr>
          </w:p>
        </w:tc>
      </w:tr>
      <w:tr w14:paraId="5F472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0221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66D16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E8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180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50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建设工程项目管理</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D0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84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31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837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96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A57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60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F6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41F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C9FA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F237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BA0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B922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4269">
            <w:pPr>
              <w:jc w:val="center"/>
              <w:rPr>
                <w:rFonts w:hint="eastAsia" w:ascii="宋体" w:hAnsi="宋体" w:eastAsia="宋体" w:cs="宋体"/>
                <w:i w:val="0"/>
                <w:iCs w:val="0"/>
                <w:color w:val="000000"/>
                <w:sz w:val="16"/>
                <w:szCs w:val="16"/>
                <w:u w:val="none"/>
              </w:rPr>
            </w:pPr>
          </w:p>
        </w:tc>
      </w:tr>
      <w:tr w14:paraId="05AEC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08D2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37B3D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21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BA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8A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工程造价及算量软件实训</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71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考察</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BB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5E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715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43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A37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9EC63">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69359">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735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3E5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C8D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EA323">
            <w:pPr>
              <w:jc w:val="center"/>
              <w:rPr>
                <w:rFonts w:hint="eastAsia" w:ascii="宋体" w:hAnsi="宋体" w:eastAsia="宋体" w:cs="宋体"/>
                <w:i w:val="0"/>
                <w:iCs w:val="0"/>
                <w:color w:val="000000"/>
                <w:sz w:val="16"/>
                <w:szCs w:val="16"/>
                <w:u w:val="none"/>
              </w:rPr>
            </w:pPr>
          </w:p>
        </w:tc>
      </w:tr>
      <w:tr w14:paraId="04E06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9076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A44D61">
            <w:pPr>
              <w:jc w:val="center"/>
              <w:rPr>
                <w:rFonts w:hint="eastAsia" w:ascii="宋体" w:hAnsi="宋体" w:eastAsia="宋体" w:cs="宋体"/>
                <w:b/>
                <w:bCs/>
                <w:i w:val="0"/>
                <w:iCs w:val="0"/>
                <w:color w:val="000000"/>
                <w:sz w:val="16"/>
                <w:szCs w:val="16"/>
                <w:u w:val="none"/>
              </w:rPr>
            </w:pPr>
          </w:p>
        </w:tc>
        <w:tc>
          <w:tcPr>
            <w:tcW w:w="4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C6CC7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75F6D">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64D2">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63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E86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448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DF7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3D8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216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04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AF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2C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10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05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A5F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EC912">
            <w:pPr>
              <w:jc w:val="center"/>
              <w:rPr>
                <w:rFonts w:hint="eastAsia" w:ascii="宋体" w:hAnsi="宋体" w:eastAsia="宋体" w:cs="宋体"/>
                <w:i w:val="0"/>
                <w:iCs w:val="0"/>
                <w:color w:val="000000"/>
                <w:sz w:val="16"/>
                <w:szCs w:val="16"/>
                <w:u w:val="none"/>
              </w:rPr>
            </w:pPr>
          </w:p>
        </w:tc>
      </w:tr>
      <w:tr w14:paraId="358C3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9B873">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EE598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E97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85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D3B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建设工程法律法规</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82F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考察</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396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1F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76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235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C59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082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925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BB2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0EEC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E1DD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6B35">
            <w:pPr>
              <w:jc w:val="center"/>
              <w:rPr>
                <w:rFonts w:hint="eastAsia" w:ascii="宋体" w:hAnsi="宋体" w:eastAsia="宋体" w:cs="宋体"/>
                <w:i w:val="0"/>
                <w:iCs w:val="0"/>
                <w:color w:val="000000"/>
                <w:sz w:val="16"/>
                <w:szCs w:val="16"/>
                <w:u w:val="none"/>
              </w:rPr>
            </w:pPr>
          </w:p>
        </w:tc>
      </w:tr>
      <w:tr w14:paraId="7A16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558F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602A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23F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70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BD8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全过程工程造价概论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34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考察</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A1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71B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6EF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ECB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DAD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83C8">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FA4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FA40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F4D3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88E0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8064E">
            <w:pPr>
              <w:jc w:val="center"/>
              <w:rPr>
                <w:rFonts w:hint="eastAsia" w:ascii="宋体" w:hAnsi="宋体" w:eastAsia="宋体" w:cs="宋体"/>
                <w:i w:val="0"/>
                <w:iCs w:val="0"/>
                <w:color w:val="000000"/>
                <w:sz w:val="16"/>
                <w:szCs w:val="16"/>
                <w:u w:val="none"/>
              </w:rPr>
            </w:pPr>
          </w:p>
        </w:tc>
      </w:tr>
      <w:tr w14:paraId="53AC7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1C78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AAB1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066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39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A40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工程结算与审计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388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考察</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C3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D5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56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53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0EE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51D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476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3D992">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E629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CB8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63445">
            <w:pPr>
              <w:jc w:val="center"/>
              <w:rPr>
                <w:rFonts w:hint="eastAsia" w:ascii="宋体" w:hAnsi="宋体" w:eastAsia="宋体" w:cs="宋体"/>
                <w:i w:val="0"/>
                <w:iCs w:val="0"/>
                <w:color w:val="000000"/>
                <w:sz w:val="16"/>
                <w:szCs w:val="16"/>
                <w:u w:val="none"/>
              </w:rPr>
            </w:pPr>
          </w:p>
        </w:tc>
      </w:tr>
      <w:tr w14:paraId="11196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6F58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7F74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FB1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17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EC2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安装工程计量与计价</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4C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8AF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DF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C7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32B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D5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AD58A">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D34F0">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FF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FDB5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0219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9CBFB">
            <w:pPr>
              <w:jc w:val="center"/>
              <w:rPr>
                <w:rFonts w:hint="eastAsia" w:ascii="宋体" w:hAnsi="宋体" w:eastAsia="宋体" w:cs="宋体"/>
                <w:i w:val="0"/>
                <w:iCs w:val="0"/>
                <w:color w:val="000000"/>
                <w:sz w:val="16"/>
                <w:szCs w:val="16"/>
                <w:u w:val="none"/>
              </w:rPr>
            </w:pPr>
          </w:p>
        </w:tc>
      </w:tr>
      <w:tr w14:paraId="16B14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BC77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A030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58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E9C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JZ040505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F4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合同管理实务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B7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考察</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2B7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914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42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6CA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FB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5A03">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C463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3190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E09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A043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D0A1">
            <w:pPr>
              <w:jc w:val="center"/>
              <w:rPr>
                <w:rFonts w:hint="eastAsia" w:ascii="宋体" w:hAnsi="宋体" w:eastAsia="宋体" w:cs="宋体"/>
                <w:i w:val="0"/>
                <w:iCs w:val="0"/>
                <w:color w:val="000000"/>
                <w:sz w:val="16"/>
                <w:szCs w:val="16"/>
                <w:u w:val="none"/>
              </w:rPr>
            </w:pPr>
          </w:p>
        </w:tc>
      </w:tr>
      <w:tr w14:paraId="489DC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86A1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FB5F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2D6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4B1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JZ040506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62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钢筋工程计量</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9AA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ED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E1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78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2C4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B2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10D6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7A031">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EB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21C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206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BAC6">
            <w:pPr>
              <w:jc w:val="center"/>
              <w:rPr>
                <w:rFonts w:hint="eastAsia" w:ascii="宋体" w:hAnsi="宋体" w:eastAsia="宋体" w:cs="宋体"/>
                <w:i w:val="0"/>
                <w:iCs w:val="0"/>
                <w:color w:val="000000"/>
                <w:sz w:val="16"/>
                <w:szCs w:val="16"/>
                <w:u w:val="none"/>
              </w:rPr>
            </w:pPr>
          </w:p>
        </w:tc>
      </w:tr>
      <w:tr w14:paraId="64485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418A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D0AD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72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26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JZ040507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8D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工程成本会计学</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08C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109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45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41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1C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08A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52D0">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CA41">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8E8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EC1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9088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E84BA">
            <w:pPr>
              <w:jc w:val="center"/>
              <w:rPr>
                <w:rFonts w:hint="eastAsia" w:ascii="宋体" w:hAnsi="宋体" w:eastAsia="宋体" w:cs="宋体"/>
                <w:i w:val="0"/>
                <w:iCs w:val="0"/>
                <w:color w:val="000000"/>
                <w:sz w:val="16"/>
                <w:szCs w:val="16"/>
                <w:u w:val="none"/>
              </w:rPr>
            </w:pPr>
          </w:p>
        </w:tc>
      </w:tr>
      <w:tr w14:paraId="1FDE7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5BD8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17E02">
            <w:pPr>
              <w:jc w:val="center"/>
              <w:rPr>
                <w:rFonts w:hint="eastAsia" w:ascii="宋体" w:hAnsi="宋体" w:eastAsia="宋体" w:cs="宋体"/>
                <w:b/>
                <w:bCs/>
                <w:i w:val="0"/>
                <w:iCs w:val="0"/>
                <w:color w:val="000000"/>
                <w:sz w:val="16"/>
                <w:szCs w:val="16"/>
                <w:u w:val="none"/>
              </w:rPr>
            </w:pPr>
          </w:p>
        </w:tc>
        <w:tc>
          <w:tcPr>
            <w:tcW w:w="4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556A7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8E9C">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A13B">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28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023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224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5D4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144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D9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80 </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B7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399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200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6E1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82E7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A5E2">
            <w:pPr>
              <w:jc w:val="center"/>
              <w:rPr>
                <w:rFonts w:hint="eastAsia" w:ascii="宋体" w:hAnsi="宋体" w:eastAsia="宋体" w:cs="宋体"/>
                <w:i w:val="0"/>
                <w:iCs w:val="0"/>
                <w:color w:val="000000"/>
                <w:sz w:val="16"/>
                <w:szCs w:val="16"/>
                <w:u w:val="none"/>
              </w:rPr>
            </w:pPr>
          </w:p>
        </w:tc>
      </w:tr>
      <w:tr w14:paraId="435C3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1FD21">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0F46D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EA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44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989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3E1DD">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3B6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6A6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A9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CB232">
            <w:pPr>
              <w:jc w:val="center"/>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A3C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445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554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0D97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82F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9D36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6734">
            <w:pPr>
              <w:jc w:val="center"/>
              <w:rPr>
                <w:rFonts w:hint="eastAsia" w:ascii="宋体" w:hAnsi="宋体" w:eastAsia="宋体" w:cs="宋体"/>
                <w:i w:val="0"/>
                <w:iCs w:val="0"/>
                <w:color w:val="000000"/>
                <w:sz w:val="16"/>
                <w:szCs w:val="16"/>
                <w:u w:val="none"/>
              </w:rPr>
            </w:pPr>
          </w:p>
        </w:tc>
      </w:tr>
      <w:tr w14:paraId="3532C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A94F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70586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C2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56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248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7BE1">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9F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0E6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151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6C96">
            <w:pPr>
              <w:jc w:val="center"/>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481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22F50">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CE0A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C2B2E">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6265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BC0E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21F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19C0C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238B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537C5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650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43D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9A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E18E">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19B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E6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1E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1374">
            <w:pPr>
              <w:jc w:val="center"/>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64E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7BA14">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F1911">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163F">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037C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7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3A08F">
            <w:pPr>
              <w:jc w:val="center"/>
              <w:rPr>
                <w:rFonts w:hint="eastAsia" w:ascii="宋体" w:hAnsi="宋体" w:eastAsia="宋体" w:cs="宋体"/>
                <w:i w:val="0"/>
                <w:iCs w:val="0"/>
                <w:color w:val="000000"/>
                <w:sz w:val="16"/>
                <w:szCs w:val="16"/>
                <w:u w:val="none"/>
              </w:rPr>
            </w:pPr>
          </w:p>
        </w:tc>
      </w:tr>
      <w:tr w14:paraId="29790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712B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D8C73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47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925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43F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E431B">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DA8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309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601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A1D2">
            <w:pPr>
              <w:jc w:val="center"/>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BD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A33FA">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14A05">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6CF7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3E4F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FC1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A1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15858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6C69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EB16E5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DC5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955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EE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478B">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D0D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DBE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0AF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410A1">
            <w:pPr>
              <w:jc w:val="center"/>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DAF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BEF8">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1DF16">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14399">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D7DE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A87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9DF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5FCE7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C11C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312F5D9">
            <w:pPr>
              <w:jc w:val="center"/>
              <w:rPr>
                <w:rFonts w:hint="eastAsia" w:ascii="宋体" w:hAnsi="宋体" w:eastAsia="宋体" w:cs="宋体"/>
                <w:b/>
                <w:bCs/>
                <w:i w:val="0"/>
                <w:iCs w:val="0"/>
                <w:color w:val="000000"/>
                <w:sz w:val="16"/>
                <w:szCs w:val="16"/>
                <w:u w:val="none"/>
              </w:rPr>
            </w:pPr>
          </w:p>
        </w:tc>
        <w:tc>
          <w:tcPr>
            <w:tcW w:w="4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7DE1D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97268D">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AEF3">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B9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BD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523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0CC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11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A6EA2">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54537">
            <w:pPr>
              <w:jc w:val="center"/>
              <w:rPr>
                <w:rFonts w:hint="eastAsia" w:ascii="宋体" w:hAnsi="宋体" w:eastAsia="宋体" w:cs="宋体"/>
                <w:i w:val="0"/>
                <w:iCs w:val="0"/>
                <w:color w:val="000000"/>
                <w:sz w:val="16"/>
                <w:szCs w:val="16"/>
                <w:u w:val="none"/>
              </w:rPr>
            </w:pP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F5E6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A6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E14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19周</w:t>
            </w:r>
          </w:p>
        </w:tc>
      </w:tr>
      <w:tr w14:paraId="60FDE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56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46B6A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49F7">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970C3">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8ED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152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C7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2688 </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58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1076</w:t>
            </w:r>
          </w:p>
        </w:tc>
        <w:tc>
          <w:tcPr>
            <w:tcW w:w="5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730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1612</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767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38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62E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38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A0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30 </w:t>
            </w:r>
          </w:p>
        </w:tc>
        <w:tc>
          <w:tcPr>
            <w:tcW w:w="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B5F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30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339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5EC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19周</w:t>
            </w:r>
          </w:p>
        </w:tc>
      </w:tr>
    </w:tbl>
    <w:p w14:paraId="1FE5F92A">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方正仿宋_GB2312" w:hAnsi="方正仿宋_GB2312" w:eastAsia="方正仿宋_GB2312" w:cs="方正仿宋_GB2312"/>
          <w:b/>
          <w:bCs/>
          <w:lang w:eastAsia="zh-CN"/>
        </w:r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4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工程造价</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1076</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40.03</w:t>
            </w: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1020</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59.97</w:t>
            </w: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1612</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2688</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5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工程造价</w:t>
      </w:r>
      <w:r>
        <w:rPr>
          <w:rFonts w:hint="eastAsia" w:ascii="仿宋_GB2312" w:hAnsi="仿宋_GB2312" w:eastAsia="仿宋_GB2312" w:cs="仿宋_GB2312"/>
          <w:b/>
          <w:bCs/>
          <w:sz w:val="28"/>
          <w:szCs w:val="28"/>
          <w:lang w:val="en-US" w:eastAsia="zh-CN"/>
        </w:rPr>
        <w:t>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27.98</w:t>
            </w:r>
            <w:r>
              <w:rPr>
                <w:rFonts w:hint="eastAsia" w:hAnsi="宋体"/>
                <w:b w:val="0"/>
                <w:bCs/>
                <w:sz w:val="24"/>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9</w:t>
            </w:r>
          </w:p>
        </w:tc>
        <w:tc>
          <w:tcPr>
            <w:tcW w:w="1592" w:type="dxa"/>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624</w:t>
            </w: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23.21</w:t>
            </w:r>
            <w:r>
              <w:rPr>
                <w:rFonts w:hint="eastAsia" w:hAnsi="宋体"/>
                <w:b w:val="0"/>
                <w:bCs/>
                <w:sz w:val="24"/>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6</w:t>
            </w:r>
          </w:p>
        </w:tc>
        <w:tc>
          <w:tcPr>
            <w:tcW w:w="1592" w:type="dxa"/>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448</w:t>
            </w: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16.67</w:t>
            </w:r>
            <w:r>
              <w:rPr>
                <w:rFonts w:hint="eastAsia" w:hAnsi="宋体"/>
                <w:b w:val="0"/>
                <w:bCs/>
                <w:sz w:val="24"/>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w:t>
            </w:r>
          </w:p>
        </w:tc>
        <w:tc>
          <w:tcPr>
            <w:tcW w:w="1592" w:type="dxa"/>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592</w:t>
            </w: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22.02</w:t>
            </w:r>
            <w:r>
              <w:rPr>
                <w:rFonts w:hint="eastAsia" w:hAnsi="宋体"/>
                <w:b w:val="0"/>
                <w:bCs/>
                <w:sz w:val="24"/>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1.79</w:t>
            </w:r>
            <w:r>
              <w:rPr>
                <w:rFonts w:hint="eastAsia" w:hAnsi="宋体"/>
                <w:b w:val="0"/>
                <w:bCs/>
                <w:sz w:val="24"/>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7</w:t>
            </w:r>
          </w:p>
        </w:tc>
        <w:tc>
          <w:tcPr>
            <w:tcW w:w="1592" w:type="dxa"/>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224</w:t>
            </w: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8.33</w:t>
            </w:r>
            <w:r>
              <w:rPr>
                <w:rFonts w:hint="eastAsia" w:hAnsi="宋体"/>
                <w:b w:val="0"/>
                <w:bCs/>
                <w:sz w:val="24"/>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47</w:t>
            </w: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2688</w:t>
            </w: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val="0"/>
                <w:bCs/>
                <w:sz w:val="24"/>
                <w:lang w:val="en-US" w:eastAsia="zh-CN"/>
              </w:rPr>
              <w:t>100</w:t>
            </w:r>
            <w:r>
              <w:rPr>
                <w:rFonts w:hint="eastAsia" w:hAnsi="宋体"/>
                <w:b w:val="0"/>
                <w:bCs/>
                <w:sz w:val="24"/>
              </w:rPr>
              <w:t>%</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6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工程造价</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27.98</w:t>
            </w: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1.79</w:t>
            </w:r>
            <w:r>
              <w:rPr>
                <w:rFonts w:hint="eastAsia" w:hAnsi="宋体"/>
                <w:b w:val="0"/>
                <w:bCs/>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29.77</w:t>
            </w:r>
            <w:r>
              <w:rPr>
                <w:rFonts w:hint="eastAsia" w:hAnsi="宋体"/>
                <w:b w:val="0"/>
                <w:bCs/>
                <w:sz w:val="24"/>
              </w:rPr>
              <w:t>%</w:t>
            </w:r>
          </w:p>
        </w:tc>
      </w:tr>
    </w:tbl>
    <w:p w14:paraId="0DDE2FCE">
      <w:pPr>
        <w:numPr>
          <w:ilvl w:val="0"/>
          <w:numId w:val="14"/>
        </w:numPr>
        <w:overflowPunct w:val="0"/>
        <w:adjustRightInd w:val="0"/>
        <w:ind w:firstLine="640" w:firstLineChars="200"/>
        <w:rPr>
          <w:rFonts w:eastAsia="黑体"/>
          <w:szCs w:val="32"/>
        </w:rPr>
      </w:pPr>
      <w:r>
        <w:rPr>
          <w:rFonts w:hint="eastAsia" w:eastAsia="黑体"/>
          <w:szCs w:val="32"/>
        </w:rPr>
        <w:t>实施保障</w:t>
      </w:r>
    </w:p>
    <w:p w14:paraId="1FDCA7DD">
      <w:pPr>
        <w:overflowPunct w:val="0"/>
        <w:adjustRightInd w:val="0"/>
        <w:ind w:firstLine="640" w:firstLineChars="200"/>
        <w:rPr>
          <w:rFonts w:ascii="仿宋_GB2312"/>
        </w:rPr>
      </w:pPr>
      <w:r>
        <w:rPr>
          <w:rFonts w:hint="eastAsia" w:ascii="仿宋_GB2312"/>
        </w:rPr>
        <w:t>主要包括师资队伍、教学设施、教学资源、教学方法、学习评价、质量管理等方面。</w:t>
      </w:r>
    </w:p>
    <w:p w14:paraId="6F207B56">
      <w:pPr>
        <w:ind w:firstLine="42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（一）师资队伍</w:t>
      </w:r>
    </w:p>
    <w:p w14:paraId="4C2878F8">
      <w:pPr>
        <w:overflowPunct w:val="0"/>
        <w:adjustRightInd w:val="0"/>
        <w:ind w:firstLine="640" w:firstLineChars="200"/>
        <w:rPr>
          <w:rFonts w:ascii="仿宋_GB2312"/>
          <w:b/>
          <w:bCs/>
        </w:rPr>
      </w:pPr>
      <w:r>
        <w:rPr>
          <w:rFonts w:hint="eastAsia" w:ascii="仿宋_GB2312"/>
        </w:rPr>
        <w:t>按照“四有好老师”“四个相统一”“四个引路人”的要求建设专业教师队伍，将师德师风作为教师队伍建设的第一标准。</w:t>
      </w:r>
    </w:p>
    <w:p w14:paraId="47B59D22">
      <w:pPr>
        <w:overflowPunct w:val="0"/>
        <w:adjustRightInd w:val="0"/>
        <w:ind w:firstLine="643" w:firstLineChars="200"/>
        <w:rPr>
          <w:rFonts w:ascii="仿宋_GB2312"/>
          <w:b/>
          <w:bCs/>
        </w:rPr>
      </w:pPr>
      <w:r>
        <w:rPr>
          <w:rFonts w:hint="eastAsia" w:ascii="仿宋_GB2312"/>
          <w:b/>
          <w:bCs/>
        </w:rPr>
        <w:t>1.队伍结构</w:t>
      </w:r>
    </w:p>
    <w:p w14:paraId="1D59EF6E">
      <w:pPr>
        <w:overflowPunct w:val="0"/>
        <w:adjustRightInd w:val="0"/>
        <w:ind w:firstLine="640" w:firstLineChars="200"/>
      </w:pPr>
      <w:r>
        <w:rPr>
          <w:rFonts w:hint="eastAsia"/>
        </w:rPr>
        <w:t>本专业教学团队由校内教师6名，校外教师1名，企业兼职教师1名组成。学生数与本专业专任教师数比例不高于25:1，双师素质教师4名，占比不低于60%，高级职称教师2名，占比不低于20%，专任教师队伍构成从职称到年龄，形成合理的梯队结构本教学团队，教师在“提升自我、服务教学、贡献学校”的理念指导下，努力钻研，锐意创新，是一支中青年优秀教学科研骨干为主、校内外教学资源相互配合的教师队伍。</w:t>
      </w:r>
    </w:p>
    <w:p w14:paraId="1E430CC7">
      <w:pPr>
        <w:overflowPunct w:val="0"/>
        <w:adjustRightInd w:val="0"/>
        <w:ind w:firstLine="643" w:firstLineChars="200"/>
        <w:rPr>
          <w:rFonts w:ascii="仿宋_GB2312"/>
          <w:b/>
          <w:bCs/>
        </w:rPr>
      </w:pPr>
      <w:r>
        <w:rPr>
          <w:rFonts w:hint="eastAsia" w:ascii="仿宋_GB2312"/>
          <w:b/>
          <w:bCs/>
        </w:rPr>
        <w:t>2.专业带头人</w:t>
      </w:r>
    </w:p>
    <w:p w14:paraId="0D4E0284">
      <w:pPr>
        <w:overflowPunct w:val="0"/>
        <w:adjustRightInd w:val="0"/>
        <w:ind w:firstLine="640" w:firstLineChars="200"/>
      </w:pPr>
      <w:r>
        <w:rPr>
          <w:rFonts w:hint="eastAsia"/>
        </w:rPr>
        <w:t>专业带头人应具有本专业及相关专业副高及以上职称和较强的实践能力，能够较好地把握国内外工程造价（管理）专业技术服务行业、专业发展，能广泛联系行业企业，了解行业企业对本专业人才的需求实际，主持专业建设、开展教育教学改革、教科研工作和社会服务能力强，在本专业改革发展中起引领作用。</w:t>
      </w:r>
    </w:p>
    <w:p w14:paraId="04C33BBA">
      <w:pPr>
        <w:overflowPunct w:val="0"/>
        <w:adjustRightInd w:val="0"/>
        <w:ind w:firstLine="640" w:firstLineChars="200"/>
      </w:pPr>
      <w:r>
        <w:rPr>
          <w:rFonts w:hint="eastAsia"/>
        </w:rPr>
        <w:t>单红，中共党员，硕士研究生毕业，工程管理专业(工程项目技术经济评价方向)，讲师职称，“双师型”教师，注册造价工程师，BIM高级工程师、装配式高级工程师。任教期间参与省级重点科研项目2项，教研项目2项；申报实用新型专利1个、软著2个；参与教材编写2本（《建筑施工技术》主编、《建筑工程经济》副主编）；指导学生参加竞赛获省级一等奖1个、三等级3个、优秀奖1个，发表3类论文1篇，四类论文13篇。承担建筑工程技术与工程造价专业核心课程《建筑工程计量与计价》、《建筑工程项目管理》、专业基础课程《建筑工程经济》《工程成本会计学》的教学工作。注重理论与实践结合，以理论与实践深度融合为核心，将工程管理专业知识与建筑行业前沿技术融入教学，有效提升学生专业技能与实践应用能力。同时积极投身教学改革与课程建设，为建筑工程技术与工程造价专业发展注入强劲动力。</w:t>
      </w:r>
    </w:p>
    <w:p w14:paraId="50D703C5">
      <w:pPr>
        <w:overflowPunct w:val="0"/>
        <w:adjustRightInd w:val="0"/>
        <w:ind w:firstLine="643" w:firstLineChars="200"/>
        <w:rPr>
          <w:rFonts w:ascii="仿宋_GB2312"/>
          <w:b/>
          <w:bCs/>
        </w:rPr>
      </w:pPr>
      <w:r>
        <w:rPr>
          <w:rFonts w:hint="eastAsia" w:ascii="仿宋_GB2312"/>
          <w:b/>
          <w:bCs/>
        </w:rPr>
        <w:t>3.专任教师</w:t>
      </w:r>
    </w:p>
    <w:p w14:paraId="63B8750E">
      <w:pPr>
        <w:overflowPunct w:val="0"/>
        <w:adjustRightInd w:val="0"/>
        <w:ind w:firstLine="640" w:firstLineChars="200"/>
        <w:rPr>
          <w:rFonts w:hint="eastAsia"/>
        </w:rPr>
      </w:pPr>
      <w:r>
        <w:rPr>
          <w:rFonts w:hint="eastAsia"/>
        </w:rPr>
        <w:t>专任教师具有高校教师资格和本专业领域有关证书；有理想信念、有道德情操、有扎实学识、有仁爱之心；具有本科及以上学历和硕士学位；专任专业教师接受过职业教育教学方法的培训，具有开发职业课程的能力。</w:t>
      </w:r>
    </w:p>
    <w:p w14:paraId="366F87C8">
      <w:pPr>
        <w:overflowPunct w:val="0"/>
        <w:adjustRightInd w:val="0"/>
        <w:ind w:firstLine="640" w:firstLineChars="200"/>
        <w:rPr>
          <w:rFonts w:hint="eastAsia"/>
        </w:rPr>
      </w:pPr>
      <w:r>
        <w:rPr>
          <w:rFonts w:hint="eastAsia"/>
        </w:rPr>
        <w:t>（1）郭小曼，副教授，中级“双师”（兼具高校教学能力、行业高级技能证书及丰富企业实践经验），专业领域：环境艺术设计（室内外设计方向）。核心优势：精通室内外空间设计全流程，擅长将设计理论、材料工艺与数字化技术深度融合，具备跨学科项目统筹能力。</w:t>
      </w:r>
    </w:p>
    <w:p w14:paraId="6FB8DA7F">
      <w:pPr>
        <w:overflowPunct w:val="0"/>
        <w:adjustRightInd w:val="0"/>
        <w:ind w:firstLine="640" w:firstLineChars="200"/>
        <w:rPr>
          <w:rFonts w:hint="eastAsia"/>
        </w:rPr>
      </w:pPr>
      <w:r>
        <w:rPr>
          <w:rFonts w:hint="eastAsia"/>
        </w:rPr>
        <w:t>（2）钟韵梅，讲师，初级“双师”，任教期间发表3类论文2篇、四类论文3篇;系统掌握空间设计理论、材料工艺及数字化设计方法。将企业真实案例引入课堂教学，指导学生使用3DMAX完成从需求分析到成果展示的全流程设计。</w:t>
      </w:r>
    </w:p>
    <w:p w14:paraId="21A327FC">
      <w:pPr>
        <w:overflowPunct w:val="0"/>
        <w:adjustRightInd w:val="0"/>
        <w:ind w:firstLine="640" w:firstLineChars="200"/>
        <w:rPr>
          <w:rFonts w:hint="eastAsia"/>
        </w:rPr>
      </w:pPr>
      <w:r>
        <w:rPr>
          <w:rFonts w:hint="eastAsia"/>
        </w:rPr>
        <w:t>（3）陈士琳，“双师”型教师，工程管理专业硕士研究生毕业，高级工程师，国家注册一级建造师、一级造价师、咨询工程师（投资），曾获得市级“庐州杯”，省级“黄山杯”奖项；发表论文5篇。承担建筑工程技术与工程造价专业课程广联达BIM算量软件、建设工程监理概论课程。</w:t>
      </w:r>
    </w:p>
    <w:p w14:paraId="0B41AD1E">
      <w:pPr>
        <w:overflowPunct w:val="0"/>
        <w:adjustRightInd w:val="0"/>
        <w:ind w:firstLine="640" w:firstLineChars="200"/>
        <w:rPr>
          <w:rFonts w:hint="eastAsia"/>
        </w:rPr>
      </w:pPr>
      <w:r>
        <w:rPr>
          <w:rFonts w:hint="eastAsia"/>
        </w:rPr>
        <w:t>（4）张守卫，结构工程专业硕士研究生，BIM高级建模师。曾获得省级、国家级建模、设计类竞赛等级奖项五项。发表论文二篇，参与国家级科研项目一项。承担工程造价、建筑设计专业课程，如建筑施工图设计、建筑施工技术。</w:t>
      </w:r>
    </w:p>
    <w:p w14:paraId="719AFEB5">
      <w:pPr>
        <w:overflowPunct w:val="0"/>
        <w:adjustRightInd w:val="0"/>
        <w:ind w:firstLine="640" w:firstLineChars="200"/>
        <w:rPr>
          <w:rFonts w:hint="eastAsia"/>
        </w:rPr>
      </w:pPr>
      <w:r>
        <w:rPr>
          <w:rFonts w:hint="eastAsia"/>
        </w:rPr>
        <w:t>（5）蔡晓，土木工程专业硕士研究生毕业，曾获得省级、国家级设计类竞赛等级奖项2余项、参与并获得实用新型专利2项、软件著作2项。承担建筑设计专业核心课程如BIM，带领学生获得省级奖项1项。</w:t>
      </w:r>
    </w:p>
    <w:p w14:paraId="622A6967">
      <w:pPr>
        <w:overflowPunct w:val="0"/>
        <w:adjustRightInd w:val="0"/>
        <w:ind w:firstLine="640" w:firstLineChars="200"/>
        <w:rPr>
          <w:rFonts w:hint="eastAsia"/>
        </w:rPr>
      </w:pPr>
      <w:r>
        <w:rPr>
          <w:rFonts w:hint="eastAsia"/>
        </w:rPr>
        <w:t>（6）开玲，土木水利专业硕士研究生，曾获得国家级竞赛奖项2项，省级竞赛奖项1项，参与国家社科后期资助项目1项，参编专业著作1项。承担工程造价专业核心课程，如建筑工程项目管理，安装工程计量与计价等。</w:t>
      </w:r>
    </w:p>
    <w:p w14:paraId="101A73CE">
      <w:pPr>
        <w:overflowPunct w:val="0"/>
        <w:adjustRightInd w:val="0"/>
        <w:ind w:firstLine="643" w:firstLineChars="200"/>
        <w:rPr>
          <w:rFonts w:ascii="仿宋_GB2312"/>
          <w:b/>
          <w:bCs/>
        </w:rPr>
      </w:pPr>
      <w:r>
        <w:rPr>
          <w:rFonts w:hint="eastAsia" w:ascii="仿宋_GB2312"/>
          <w:b/>
          <w:bCs/>
        </w:rPr>
        <w:t>4.兼职教师</w:t>
      </w:r>
    </w:p>
    <w:p w14:paraId="61D96214">
      <w:pPr>
        <w:overflowPunct w:val="0"/>
        <w:adjustRightInd w:val="0"/>
        <w:ind w:firstLine="640" w:firstLineChars="200"/>
      </w:pPr>
      <w:r>
        <w:rPr>
          <w:rFonts w:hint="eastAsia"/>
        </w:rPr>
        <w:t>本专业聘请相关行业企业的高技能人才到我专业担任兼职教师，他们具有扎实的专业知识和丰富的实际工作经验，具有中级及以上专业技术职务（职称）或高级工及以上职业技能等级。企业兼职教师了解教育教学规律，能承担专业课程教学、实习实训指导和学生职业发展规划指导等专业教学任务，为专业建设提出宝贵意见，为教学实践创造良好的基础及条件。</w:t>
      </w:r>
    </w:p>
    <w:p w14:paraId="6B94749A">
      <w:pPr>
        <w:ind w:firstLine="42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（二）教学设施</w:t>
      </w:r>
    </w:p>
    <w:p w14:paraId="394A21E5">
      <w:pPr>
        <w:overflowPunct w:val="0"/>
        <w:adjustRightInd w:val="0"/>
        <w:ind w:firstLine="640" w:firstLineChars="200"/>
      </w:pPr>
      <w:r>
        <w:rPr>
          <w:rFonts w:hint="eastAsia"/>
        </w:rPr>
        <w:t xml:space="preserve">主要包括能够满足正常的课程教学、实习实训所需的专业教室、实验、实训室。 </w:t>
      </w:r>
    </w:p>
    <w:p w14:paraId="6C032209">
      <w:pPr>
        <w:overflowPunct w:val="0"/>
        <w:adjustRightInd w:val="0"/>
        <w:ind w:firstLine="643" w:firstLineChars="200"/>
      </w:pPr>
      <w:r>
        <w:rPr>
          <w:rFonts w:hint="eastAsia"/>
          <w:b/>
          <w:bCs/>
        </w:rPr>
        <w:t>1.专业教室基本要求</w:t>
      </w:r>
      <w:r>
        <w:rPr>
          <w:rFonts w:hint="eastAsia"/>
        </w:rPr>
        <w:t xml:space="preserve"> </w:t>
      </w:r>
    </w:p>
    <w:p w14:paraId="4F3D96EC">
      <w:pPr>
        <w:overflowPunct w:val="0"/>
        <w:adjustRightInd w:val="0"/>
        <w:ind w:firstLine="640" w:firstLineChars="200"/>
      </w:pPr>
      <w:r>
        <w:rPr>
          <w:rFonts w:hint="eastAsia"/>
        </w:rPr>
        <w:t xml:space="preserve">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 </w:t>
      </w:r>
    </w:p>
    <w:p w14:paraId="08D3CC0E">
      <w:pPr>
        <w:overflowPunct w:val="0"/>
        <w:adjustRightInd w:val="0"/>
        <w:ind w:firstLine="643" w:firstLineChars="200"/>
      </w:pPr>
      <w:r>
        <w:rPr>
          <w:rFonts w:hint="eastAsia"/>
          <w:b/>
          <w:bCs/>
        </w:rPr>
        <w:t>2.校内实验、实训场所基本要求</w:t>
      </w:r>
      <w:r>
        <w:rPr>
          <w:rFonts w:hint="eastAsia"/>
        </w:rPr>
        <w:t xml:space="preserve"> </w:t>
      </w:r>
    </w:p>
    <w:p w14:paraId="4047F347">
      <w:pPr>
        <w:overflowPunct w:val="0"/>
        <w:adjustRightInd w:val="0"/>
        <w:ind w:firstLine="640" w:firstLineChars="200"/>
      </w:pPr>
      <w:r>
        <w:rPr>
          <w:rFonts w:hint="eastAsia"/>
        </w:rPr>
        <w:t xml:space="preserve">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工程计量与计价、招投标和合同管理、建设工程项目管理、数字造价技术应用等实验、实训活动。鼓励在实训中运用大数据、云计算、人工智能、虚拟仿真等前沿信息技术。 </w:t>
      </w:r>
    </w:p>
    <w:p w14:paraId="234CBB7E">
      <w:pPr>
        <w:overflowPunct w:val="0"/>
        <w:adjustRightInd w:val="0"/>
        <w:ind w:firstLine="640" w:firstLineChars="200"/>
        <w:rPr>
          <w:rFonts w:hint="eastAsia"/>
        </w:rPr>
      </w:pPr>
      <w:r>
        <w:rPr>
          <w:rFonts w:hint="eastAsia"/>
        </w:rPr>
        <w:t>数智建造实训室：</w:t>
      </w:r>
    </w:p>
    <w:p w14:paraId="51C19C4D">
      <w:pPr>
        <w:overflowPunct w:val="0"/>
        <w:adjustRightInd w:val="0"/>
        <w:ind w:firstLine="640" w:firstLineChars="200"/>
      </w:pPr>
      <w:r>
        <w:rPr>
          <w:rFonts w:hint="eastAsia"/>
        </w:rPr>
        <w:t xml:space="preserve">（1）配备多媒体教学设备、计算机、投影仪等设备设施，广联达计量计价软件，用于施工图识读、建设工程定额应用、工程量清单编制（核对）、招标控制价确定、投标报价文件编制等实训教学。 </w:t>
      </w:r>
    </w:p>
    <w:p w14:paraId="0B961369">
      <w:pPr>
        <w:overflowPunct w:val="0"/>
        <w:adjustRightInd w:val="0"/>
        <w:ind w:firstLine="640" w:firstLineChars="200"/>
      </w:pPr>
      <w:r>
        <w:rPr>
          <w:rFonts w:hint="eastAsia"/>
        </w:rPr>
        <w:t>（2）配备BIM数字化建模软件、工程计量平台软件、云计价平台软件、工程造价指标信息服务平台、材料信息服务平台，用于造价数字化技术应用等实训教学。</w:t>
      </w:r>
    </w:p>
    <w:p w14:paraId="17736A08">
      <w:pPr>
        <w:overflowPunct w:val="0"/>
        <w:adjustRightInd w:val="0"/>
        <w:ind w:firstLine="640" w:firstLineChars="200"/>
        <w:rPr>
          <w:rFonts w:hint="eastAsia"/>
        </w:rPr>
      </w:pPr>
      <w:r>
        <w:rPr>
          <w:rFonts w:hint="eastAsia"/>
        </w:rPr>
        <w:t>工程测量实训室：</w:t>
      </w:r>
    </w:p>
    <w:p w14:paraId="41B761F0">
      <w:pPr>
        <w:overflowPunct w:val="0"/>
        <w:adjustRightInd w:val="0"/>
        <w:ind w:firstLine="640" w:firstLineChars="200"/>
      </w:pPr>
      <w:r>
        <w:rPr>
          <w:rFonts w:hint="eastAsia"/>
        </w:rPr>
        <w:t>配备全站仪、电子水准仪、GNSS 接收机等高精度测量仪器等先进数据采集设备，以及高性能计算机、图形工作站等数据处理终端，南方CASS、AutoCAD 等专业软件，用于地形测量、工程控制测量、施工放样、变形监测、三维建模等实训教学，以及测量数据处理、地形图绘制、工程测量方案设计等技能培训。</w:t>
      </w:r>
    </w:p>
    <w:p w14:paraId="33351466">
      <w:pPr>
        <w:overflowPunct w:val="0"/>
        <w:adjustRightInd w:val="0"/>
        <w:ind w:firstLine="640" w:firstLineChars="200"/>
        <w:rPr>
          <w:rFonts w:hint="eastAsia"/>
        </w:rPr>
      </w:pPr>
      <w:r>
        <w:rPr>
          <w:rFonts w:hint="eastAsia"/>
        </w:rPr>
        <w:t>数字建筑工程制图与识图实训室：</w:t>
      </w:r>
    </w:p>
    <w:p w14:paraId="165C493A">
      <w:pPr>
        <w:overflowPunct w:val="0"/>
        <w:adjustRightInd w:val="0"/>
        <w:ind w:firstLine="640" w:firstLineChars="200"/>
      </w:pPr>
      <w:r>
        <w:rPr>
          <w:rFonts w:hint="eastAsia"/>
        </w:rPr>
        <w:t>配备高性能计算机，中望3D EDUBIM识图教学软件（建筑构造版）、中望建筑工程识图能力实训评价软件、中望家装工程施工虚拟仿真等专业软件，以及建筑模型制作工具和材料。用于建筑工程识图职业技能竞赛备赛实训、建筑工程识图1+</w:t>
      </w:r>
      <w:r>
        <w:rPr>
          <w:rFonts w:hint="eastAsia"/>
          <w:lang w:val="en-US" w:eastAsia="zh-CN"/>
        </w:rPr>
        <w:t>X</w:t>
      </w:r>
      <w:r>
        <w:rPr>
          <w:rFonts w:hint="eastAsia"/>
        </w:rPr>
        <w:t>培训考核以及建筑类院校省级、国家级师资培训社会服务。</w:t>
      </w:r>
    </w:p>
    <w:p w14:paraId="6D71E413">
      <w:pPr>
        <w:ind w:firstLine="42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（三）教学资源</w:t>
      </w:r>
    </w:p>
    <w:p w14:paraId="45479AF9">
      <w:pPr>
        <w:overflowPunct w:val="0"/>
        <w:adjustRightInd w:val="0"/>
        <w:ind w:firstLine="640" w:firstLineChars="200"/>
      </w:pPr>
      <w:r>
        <w:rPr>
          <w:rFonts w:hint="eastAsia"/>
        </w:rPr>
        <w:t xml:space="preserve">主要包括能够满足学生专业学习、教师专业教学研究和教学实施需要的教材、图书及数字化资源等。 </w:t>
      </w:r>
    </w:p>
    <w:p w14:paraId="671115DA">
      <w:pPr>
        <w:overflowPunct w:val="0"/>
        <w:adjustRightInd w:val="0"/>
        <w:ind w:firstLine="643" w:firstLineChars="200"/>
        <w:rPr>
          <w:rFonts w:ascii="仿宋_GB2312"/>
          <w:b/>
          <w:bCs/>
        </w:rPr>
      </w:pPr>
      <w:r>
        <w:rPr>
          <w:rFonts w:hint="eastAsia" w:ascii="仿宋_GB2312"/>
          <w:b/>
          <w:bCs/>
        </w:rPr>
        <w:t>1.教材选用基本要求</w:t>
      </w:r>
    </w:p>
    <w:p w14:paraId="15802C68">
      <w:pPr>
        <w:overflowPunct w:val="0"/>
        <w:adjustRightInd w:val="0"/>
        <w:ind w:firstLine="640" w:firstLineChars="200"/>
        <w:rPr>
          <w:rFonts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71344DF2">
      <w:pPr>
        <w:overflowPunct w:val="0"/>
        <w:adjustRightInd w:val="0"/>
        <w:ind w:firstLine="643" w:firstLineChars="200"/>
        <w:rPr>
          <w:rFonts w:ascii="仿宋_GB2312"/>
          <w:b/>
          <w:bCs/>
        </w:rPr>
      </w:pPr>
      <w:r>
        <w:rPr>
          <w:rFonts w:hint="eastAsia" w:ascii="仿宋_GB2312"/>
          <w:b/>
          <w:bCs/>
        </w:rPr>
        <w:t>2.图书文献配备基本要求</w:t>
      </w:r>
    </w:p>
    <w:p w14:paraId="7E9F37A5">
      <w:pPr>
        <w:overflowPunct w:val="0"/>
        <w:adjustRightInd w:val="0"/>
        <w:ind w:firstLine="640" w:firstLineChars="200"/>
      </w:pPr>
      <w:r>
        <w:rPr>
          <w:rFonts w:hint="eastAsia" w:ascii="仿宋_GB2312"/>
        </w:rPr>
        <w:t>图书文献配备能满足人才培养、专业建设、教科研等工作的需要。专业类图书文献主要包括：工程造价专业和相关专业的杂志、专业图书、电子文献等。及时配置新经济、新技术、新工艺、新材料、新管理方式、新服务方式等相关的图书文献。</w:t>
      </w:r>
    </w:p>
    <w:p w14:paraId="3D26A329">
      <w:pPr>
        <w:overflowPunct w:val="0"/>
        <w:adjustRightInd w:val="0"/>
        <w:ind w:firstLine="643" w:firstLineChars="200"/>
        <w:rPr>
          <w:rFonts w:ascii="仿宋_GB2312"/>
          <w:b/>
          <w:bCs/>
        </w:rPr>
      </w:pPr>
      <w:r>
        <w:rPr>
          <w:rFonts w:hint="eastAsia" w:ascii="仿宋_GB2312"/>
          <w:b/>
          <w:bCs/>
        </w:rPr>
        <w:t>3.数字教学资源配置基本要求</w:t>
      </w:r>
    </w:p>
    <w:p w14:paraId="0E4E3D3B">
      <w:pPr>
        <w:ind w:firstLine="640" w:firstLineChars="200"/>
      </w:pPr>
      <w:r>
        <w:rPr>
          <w:rFonts w:hint="eastAsia"/>
        </w:rPr>
        <w:t>本专业所使用的教材均应是国家或行业近5年规划教材或本校教材。以优质数字化资源建设为载体，以课程为主要表现形式，以素材资源为补充，利用网络学习平台建设共享性教学资源库，资源库建设内容应涵盖学历教育与职业培训。专业教学软件包括试题库、案例库、课件库、专业教学素材库、教学录像库等。通过专业教学网站登录，为网络学习、继续教育学习、终身学习、学生自主学习提供条件，实现校内、校外资源共享。</w:t>
      </w:r>
    </w:p>
    <w:p w14:paraId="6A8FB209">
      <w:pPr>
        <w:ind w:firstLine="321" w:firstLineChars="1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（四）教学方法</w:t>
      </w:r>
    </w:p>
    <w:p w14:paraId="25ADE68D">
      <w:pPr>
        <w:overflowPunct w:val="0"/>
        <w:adjustRightInd w:val="0"/>
        <w:ind w:firstLine="640" w:firstLineChars="200"/>
        <w:rPr>
          <w:rFonts w:ascii="仿宋_GB2312"/>
        </w:rPr>
      </w:pPr>
      <w:r>
        <w:rPr>
          <w:rFonts w:hint="eastAsia" w:ascii="仿宋_GB2312"/>
        </w:rPr>
        <w:t>在专业课程中普及项目教学、案例教学、情境教学、模块化教学等教学方式，广泛运用启发式、探究式、讨论式、参与式等教学方法，以学校建筑为教学原型，推进翻转课堂、混合式教学、理实一体教学等新型教学模式，推广教师采用“一平三端”智慧教学系统，推动课堂教学改革。</w:t>
      </w:r>
    </w:p>
    <w:p w14:paraId="1B727C8D">
      <w:pPr>
        <w:ind w:firstLine="42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（五）学习评价</w:t>
      </w:r>
    </w:p>
    <w:p w14:paraId="1220F216">
      <w:pPr>
        <w:overflowPunct w:val="0"/>
        <w:adjustRightInd w:val="0"/>
        <w:ind w:firstLine="640" w:firstLineChars="200"/>
        <w:rPr>
          <w:rFonts w:ascii="仿宋_GB2312"/>
        </w:rPr>
      </w:pPr>
      <w:r>
        <w:rPr>
          <w:rFonts w:hint="eastAsia" w:ascii="仿宋_GB2312"/>
        </w:rPr>
        <w:t>1.完成课程学习，通过过程性考核和终结性考核，修满学分。</w:t>
      </w:r>
    </w:p>
    <w:p w14:paraId="14F3E6B3">
      <w:pPr>
        <w:overflowPunct w:val="0"/>
        <w:adjustRightInd w:val="0"/>
        <w:ind w:firstLine="640" w:firstLineChars="200"/>
        <w:rPr>
          <w:rFonts w:ascii="仿宋_GB2312"/>
        </w:rPr>
      </w:pPr>
      <w:r>
        <w:rPr>
          <w:rFonts w:hint="eastAsia" w:ascii="仿宋_GB2312"/>
        </w:rPr>
        <w:t>2.完成规定的实习实训任务，参加专业技能实训，岗位实习等，完成技术技能提升。</w:t>
      </w:r>
    </w:p>
    <w:p w14:paraId="6BE6170C">
      <w:pPr>
        <w:overflowPunct w:val="0"/>
        <w:adjustRightInd w:val="0"/>
        <w:ind w:firstLine="640" w:firstLineChars="200"/>
        <w:rPr>
          <w:rFonts w:ascii="仿宋_GB2312"/>
        </w:rPr>
      </w:pPr>
      <w:r>
        <w:rPr>
          <w:rFonts w:hint="eastAsia" w:ascii="仿宋_GB2312"/>
        </w:rPr>
        <w:t>3.参加1+X证书考试、职业资格证书考试、职业技能等级考试，获取相应的职业证书。</w:t>
      </w:r>
    </w:p>
    <w:p w14:paraId="750F2623">
      <w:pPr>
        <w:ind w:firstLine="42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（六）质量管理</w:t>
      </w:r>
    </w:p>
    <w:p w14:paraId="6136F371">
      <w:pPr>
        <w:overflowPunct w:val="0"/>
        <w:adjustRightInd w:val="0"/>
        <w:ind w:firstLine="640" w:firstLineChars="200"/>
        <w:rPr>
          <w:rFonts w:ascii="仿宋_GB2312"/>
        </w:rPr>
      </w:pPr>
      <w:r>
        <w:rPr>
          <w:rFonts w:hint="eastAsia" w:ascii="仿宋_GB2312"/>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14261117">
      <w:pPr>
        <w:overflowPunct w:val="0"/>
        <w:adjustRightInd w:val="0"/>
        <w:ind w:firstLine="640" w:firstLineChars="200"/>
        <w:rPr>
          <w:rFonts w:ascii="仿宋_GB2312"/>
        </w:rPr>
      </w:pPr>
      <w:r>
        <w:rPr>
          <w:rFonts w:hint="eastAsia" w:ascii="仿宋_GB2312"/>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136A6D6F">
      <w:pPr>
        <w:overflowPunct w:val="0"/>
        <w:adjustRightInd w:val="0"/>
        <w:ind w:firstLine="640" w:firstLineChars="200"/>
        <w:rPr>
          <w:rFonts w:ascii="仿宋_GB2312"/>
        </w:rPr>
      </w:pPr>
      <w:r>
        <w:rPr>
          <w:rFonts w:hint="eastAsia" w:ascii="仿宋_GB2312"/>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74F4F923">
      <w:pPr>
        <w:overflowPunct w:val="0"/>
        <w:adjustRightInd w:val="0"/>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7506AE4B">
      <w:pPr>
        <w:overflowPunct w:val="0"/>
        <w:adjustRightInd w:val="0"/>
        <w:ind w:firstLine="640" w:firstLineChars="200"/>
      </w:pPr>
      <w:r>
        <w:rPr>
          <w:rFonts w:hint="eastAsia" w:eastAsia="黑体"/>
          <w:szCs w:val="32"/>
        </w:rPr>
        <w:t>九、毕业要求</w:t>
      </w:r>
    </w:p>
    <w:p w14:paraId="0C3CAF04">
      <w:pPr>
        <w:keepNext w:val="0"/>
        <w:keepLines w:val="0"/>
        <w:pageBreakBefore w:val="0"/>
        <w:widowControl w:val="0"/>
        <w:numPr>
          <w:ilvl w:val="0"/>
          <w:numId w:val="16"/>
        </w:numPr>
        <w:kinsoku/>
        <w:wordWrap/>
        <w:overflowPunct/>
        <w:topLinePunct w:val="0"/>
        <w:autoSpaceDE/>
        <w:autoSpaceDN/>
        <w:bidi w:val="0"/>
        <w:adjustRightInd/>
        <w:snapToGrid/>
        <w:ind w:left="420" w:leftChars="0"/>
        <w:textAlignment w:val="auto"/>
        <w:rPr>
          <w:rFonts w:hint="eastAsia" w:ascii="方正仿宋_GB2312" w:hAnsi="方正仿宋_GB2312" w:eastAsia="方正仿宋_GB2312" w:cs="方正仿宋_GB2312"/>
          <w:b/>
          <w:bCs/>
          <w:lang w:eastAsia="zh-CN"/>
        </w:rPr>
      </w:pPr>
      <w:r>
        <w:rPr>
          <w:rFonts w:hint="eastAsia" w:ascii="方正仿宋_GB2312" w:hAnsi="方正仿宋_GB2312" w:eastAsia="方正仿宋_GB2312" w:cs="方正仿宋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本专业总学时2688，其中必修课学时2416，选修课学时272，学时未修满不予毕业。</w:t>
      </w:r>
    </w:p>
    <w:p w14:paraId="04BC5803">
      <w:pPr>
        <w:keepNext w:val="0"/>
        <w:keepLines w:val="0"/>
        <w:pageBreakBefore w:val="0"/>
        <w:widowControl w:val="0"/>
        <w:numPr>
          <w:ilvl w:val="0"/>
          <w:numId w:val="16"/>
        </w:numPr>
        <w:kinsoku/>
        <w:wordWrap/>
        <w:overflowPunct/>
        <w:topLinePunct w:val="0"/>
        <w:autoSpaceDE/>
        <w:autoSpaceDN/>
        <w:bidi w:val="0"/>
        <w:adjustRightInd/>
        <w:snapToGrid/>
        <w:ind w:left="420" w:leftChars="0"/>
        <w:textAlignment w:val="auto"/>
        <w:rPr>
          <w:rFonts w:hint="eastAsia" w:ascii="方正仿宋_GB2312" w:hAnsi="方正仿宋_GB2312" w:eastAsia="方正仿宋_GB2312" w:cs="方正仿宋_GB2312"/>
          <w:b/>
          <w:bCs/>
          <w:lang w:eastAsia="zh-CN"/>
        </w:rPr>
      </w:pPr>
      <w:r>
        <w:rPr>
          <w:rFonts w:hint="eastAsia" w:ascii="方正仿宋_GB2312" w:hAnsi="方正仿宋_GB2312" w:eastAsia="方正仿宋_GB2312" w:cs="方正仿宋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本专业总学分152，其中必修课学分135，选修课17，学分未修满不予毕业。</w:t>
      </w:r>
    </w:p>
    <w:p w14:paraId="4A32954F">
      <w:pPr>
        <w:overflowPunct w:val="0"/>
        <w:adjustRightInd w:val="0"/>
        <w:ind w:firstLine="640" w:firstLineChars="200"/>
        <w:rPr>
          <w:rFonts w:ascii="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1527D5-99C2-4715-B59D-8F8A61986F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681E95D-C5E5-40A5-AD62-3BFE7E930E11}"/>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3" w:fontKey="{2992D0AA-5C8F-4B52-AC06-522442943842}"/>
  </w:font>
  <w:font w:name="Saturday Sans Regular">
    <w:altName w:val="宋体"/>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0010101010101"/>
    <w:charset w:val="86"/>
    <w:family w:val="auto"/>
    <w:pitch w:val="default"/>
    <w:sig w:usb0="00000001" w:usb1="080E0000" w:usb2="00000000" w:usb3="00000000" w:csb0="00040000" w:csb1="00000000"/>
    <w:embedRegular r:id="rId4" w:fontKey="{33ABDA2C-CE99-4CCE-9A89-2A8C7EE9B4F5}"/>
  </w:font>
  <w:font w:name="方正公文小标宋">
    <w:panose1 w:val="02000500000000000000"/>
    <w:charset w:val="86"/>
    <w:family w:val="auto"/>
    <w:pitch w:val="default"/>
    <w:sig w:usb0="A00002BF" w:usb1="38CF7CFA" w:usb2="00000016" w:usb3="00000000" w:csb0="00040001" w:csb1="00000000"/>
    <w:embedRegular r:id="rId5" w:fontKey="{06A570B2-4BB9-4208-B8D5-B778DE8A30B9}"/>
  </w:font>
  <w:font w:name="方正仿宋_GB2312">
    <w:panose1 w:val="02000000000000000000"/>
    <w:charset w:val="86"/>
    <w:family w:val="auto"/>
    <w:pitch w:val="default"/>
    <w:sig w:usb0="A00002BF" w:usb1="184F6CFA" w:usb2="00000012" w:usb3="00000000" w:csb0="00040001" w:csb1="00000000"/>
    <w:embedRegular r:id="rId6" w:fontKey="{3824CCB9-F474-4299-83B3-20A6DE654A1F}"/>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6F3C64"/>
    <w:multiLevelType w:val="singleLevel"/>
    <w:tmpl w:val="8A6F3C64"/>
    <w:lvl w:ilvl="0" w:tentative="0">
      <w:start w:val="1"/>
      <w:numFmt w:val="decimal"/>
      <w:suff w:val="space"/>
      <w:lvlText w:val="%1."/>
      <w:lvlJc w:val="left"/>
    </w:lvl>
  </w:abstractNum>
  <w:abstractNum w:abstractNumId="1">
    <w:nsid w:val="AA17065E"/>
    <w:multiLevelType w:val="singleLevel"/>
    <w:tmpl w:val="AA17065E"/>
    <w:lvl w:ilvl="0" w:tentative="0">
      <w:start w:val="1"/>
      <w:numFmt w:val="decimal"/>
      <w:suff w:val="space"/>
      <w:lvlText w:val="%1."/>
      <w:lvlJc w:val="left"/>
    </w:lvl>
  </w:abstractNum>
  <w:abstractNum w:abstractNumId="2">
    <w:nsid w:val="B08CFDA5"/>
    <w:multiLevelType w:val="singleLevel"/>
    <w:tmpl w:val="B08CFDA5"/>
    <w:lvl w:ilvl="0" w:tentative="0">
      <w:start w:val="1"/>
      <w:numFmt w:val="decimal"/>
      <w:suff w:val="space"/>
      <w:lvlText w:val="%1."/>
      <w:lvlJc w:val="left"/>
    </w:lvl>
  </w:abstractNum>
  <w:abstractNum w:abstractNumId="3">
    <w:nsid w:val="B9E400D4"/>
    <w:multiLevelType w:val="singleLevel"/>
    <w:tmpl w:val="B9E400D4"/>
    <w:lvl w:ilvl="0" w:tentative="0">
      <w:start w:val="1"/>
      <w:numFmt w:val="decimal"/>
      <w:suff w:val="space"/>
      <w:lvlText w:val="%1."/>
      <w:lvlJc w:val="left"/>
    </w:lvl>
  </w:abstractNum>
  <w:abstractNum w:abstractNumId="4">
    <w:nsid w:val="C6A4588C"/>
    <w:multiLevelType w:val="singleLevel"/>
    <w:tmpl w:val="C6A4588C"/>
    <w:lvl w:ilvl="0" w:tentative="0">
      <w:start w:val="1"/>
      <w:numFmt w:val="decimal"/>
      <w:suff w:val="space"/>
      <w:lvlText w:val="%1."/>
      <w:lvlJc w:val="left"/>
    </w:lvl>
  </w:abstractNum>
  <w:abstractNum w:abstractNumId="5">
    <w:nsid w:val="C99D09BD"/>
    <w:multiLevelType w:val="singleLevel"/>
    <w:tmpl w:val="C99D09BD"/>
    <w:lvl w:ilvl="0" w:tentative="0">
      <w:start w:val="14"/>
      <w:numFmt w:val="decimal"/>
      <w:suff w:val="nothing"/>
      <w:lvlText w:val="（%1）"/>
      <w:lvlJc w:val="left"/>
    </w:lvl>
  </w:abstractNum>
  <w:abstractNum w:abstractNumId="6">
    <w:nsid w:val="D1016B20"/>
    <w:multiLevelType w:val="singleLevel"/>
    <w:tmpl w:val="D1016B20"/>
    <w:lvl w:ilvl="0" w:tentative="0">
      <w:start w:val="7"/>
      <w:numFmt w:val="chineseCounting"/>
      <w:suff w:val="nothing"/>
      <w:lvlText w:val="%1、"/>
      <w:lvlJc w:val="left"/>
      <w:rPr>
        <w:rFonts w:hint="eastAsia"/>
      </w:rPr>
    </w:lvl>
  </w:abstractNum>
  <w:abstractNum w:abstractNumId="7">
    <w:nsid w:val="F6A526BC"/>
    <w:multiLevelType w:val="singleLevel"/>
    <w:tmpl w:val="F6A526BC"/>
    <w:lvl w:ilvl="0" w:tentative="0">
      <w:start w:val="1"/>
      <w:numFmt w:val="chineseCounting"/>
      <w:suff w:val="nothing"/>
      <w:lvlText w:val="（%1）"/>
      <w:lvlJc w:val="left"/>
      <w:rPr>
        <w:rFonts w:hint="eastAsia"/>
      </w:rPr>
    </w:lvl>
  </w:abstractNum>
  <w:abstractNum w:abstractNumId="8">
    <w:nsid w:val="F961D35F"/>
    <w:multiLevelType w:val="singleLevel"/>
    <w:tmpl w:val="F961D35F"/>
    <w:lvl w:ilvl="0" w:tentative="0">
      <w:start w:val="3"/>
      <w:numFmt w:val="decimal"/>
      <w:suff w:val="nothing"/>
      <w:lvlText w:val="（%1）"/>
      <w:lvlJc w:val="left"/>
    </w:lvl>
  </w:abstractNum>
  <w:abstractNum w:abstractNumId="9">
    <w:nsid w:val="141BBCA5"/>
    <w:multiLevelType w:val="singleLevel"/>
    <w:tmpl w:val="141BBCA5"/>
    <w:lvl w:ilvl="0" w:tentative="0">
      <w:start w:val="1"/>
      <w:numFmt w:val="decimal"/>
      <w:suff w:val="space"/>
      <w:lvlText w:val="%1."/>
      <w:lvlJc w:val="left"/>
    </w:lvl>
  </w:abstractNum>
  <w:abstractNum w:abstractNumId="10">
    <w:nsid w:val="17535530"/>
    <w:multiLevelType w:val="singleLevel"/>
    <w:tmpl w:val="17535530"/>
    <w:lvl w:ilvl="0" w:tentative="0">
      <w:start w:val="1"/>
      <w:numFmt w:val="decimal"/>
      <w:suff w:val="space"/>
      <w:lvlText w:val="%1."/>
      <w:lvlJc w:val="left"/>
    </w:lvl>
  </w:abstractNum>
  <w:abstractNum w:abstractNumId="11">
    <w:nsid w:val="35A6F704"/>
    <w:multiLevelType w:val="singleLevel"/>
    <w:tmpl w:val="35A6F704"/>
    <w:lvl w:ilvl="0" w:tentative="0">
      <w:start w:val="1"/>
      <w:numFmt w:val="chineseCounting"/>
      <w:suff w:val="nothing"/>
      <w:lvlText w:val="（%1）"/>
      <w:lvlJc w:val="left"/>
      <w:rPr>
        <w:rFonts w:hint="eastAsia"/>
      </w:rPr>
    </w:lvl>
  </w:abstractNum>
  <w:abstractNum w:abstractNumId="12">
    <w:nsid w:val="3B3C8A54"/>
    <w:multiLevelType w:val="singleLevel"/>
    <w:tmpl w:val="3B3C8A54"/>
    <w:lvl w:ilvl="0" w:tentative="0">
      <w:start w:val="1"/>
      <w:numFmt w:val="decimal"/>
      <w:suff w:val="space"/>
      <w:lvlText w:val="%1."/>
      <w:lvlJc w:val="left"/>
    </w:lvl>
  </w:abstractNum>
  <w:abstractNum w:abstractNumId="13">
    <w:nsid w:val="50DC734E"/>
    <w:multiLevelType w:val="singleLevel"/>
    <w:tmpl w:val="50DC734E"/>
    <w:lvl w:ilvl="0" w:tentative="0">
      <w:start w:val="1"/>
      <w:numFmt w:val="decimal"/>
      <w:lvlText w:val="%1."/>
      <w:lvlJc w:val="left"/>
      <w:pPr>
        <w:tabs>
          <w:tab w:val="left" w:pos="312"/>
        </w:tabs>
      </w:pPr>
    </w:lvl>
  </w:abstractNum>
  <w:abstractNum w:abstractNumId="14">
    <w:nsid w:val="5A78BA21"/>
    <w:multiLevelType w:val="singleLevel"/>
    <w:tmpl w:val="5A78BA21"/>
    <w:lvl w:ilvl="0" w:tentative="0">
      <w:start w:val="1"/>
      <w:numFmt w:val="decimal"/>
      <w:lvlText w:val="%1."/>
      <w:lvlJc w:val="left"/>
      <w:pPr>
        <w:tabs>
          <w:tab w:val="left" w:pos="312"/>
        </w:tabs>
      </w:pPr>
    </w:lvl>
  </w:abstractNum>
  <w:abstractNum w:abstractNumId="15">
    <w:nsid w:val="76518359"/>
    <w:multiLevelType w:val="singleLevel"/>
    <w:tmpl w:val="76518359"/>
    <w:lvl w:ilvl="0" w:tentative="0">
      <w:start w:val="3"/>
      <w:numFmt w:val="decimal"/>
      <w:suff w:val="nothing"/>
      <w:lvlText w:val="（%1）"/>
      <w:lvlJc w:val="left"/>
    </w:lvl>
  </w:abstractNum>
  <w:num w:numId="1">
    <w:abstractNumId w:val="14"/>
  </w:num>
  <w:num w:numId="2">
    <w:abstractNumId w:val="9"/>
  </w:num>
  <w:num w:numId="3">
    <w:abstractNumId w:val="4"/>
  </w:num>
  <w:num w:numId="4">
    <w:abstractNumId w:val="2"/>
  </w:num>
  <w:num w:numId="5">
    <w:abstractNumId w:val="13"/>
  </w:num>
  <w:num w:numId="6">
    <w:abstractNumId w:val="12"/>
  </w:num>
  <w:num w:numId="7">
    <w:abstractNumId w:val="0"/>
  </w:num>
  <w:num w:numId="8">
    <w:abstractNumId w:val="3"/>
  </w:num>
  <w:num w:numId="9">
    <w:abstractNumId w:val="1"/>
  </w:num>
  <w:num w:numId="10">
    <w:abstractNumId w:val="10"/>
  </w:num>
  <w:num w:numId="11">
    <w:abstractNumId w:val="5"/>
  </w:num>
  <w:num w:numId="12">
    <w:abstractNumId w:val="8"/>
  </w:num>
  <w:num w:numId="13">
    <w:abstractNumId w:val="15"/>
  </w:num>
  <w:num w:numId="14">
    <w:abstractNumId w:val="6"/>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46CA0"/>
    <w:rsid w:val="000969AD"/>
    <w:rsid w:val="00172A27"/>
    <w:rsid w:val="00301D29"/>
    <w:rsid w:val="003116E3"/>
    <w:rsid w:val="00411CA3"/>
    <w:rsid w:val="00624FE9"/>
    <w:rsid w:val="00644C19"/>
    <w:rsid w:val="007350A9"/>
    <w:rsid w:val="008C71D6"/>
    <w:rsid w:val="00953D9C"/>
    <w:rsid w:val="00BC0E2D"/>
    <w:rsid w:val="00E50F2A"/>
    <w:rsid w:val="00FC3E1B"/>
    <w:rsid w:val="010158D6"/>
    <w:rsid w:val="01213882"/>
    <w:rsid w:val="012224F8"/>
    <w:rsid w:val="014238E2"/>
    <w:rsid w:val="015A1987"/>
    <w:rsid w:val="015D50E0"/>
    <w:rsid w:val="01981D96"/>
    <w:rsid w:val="01E0373D"/>
    <w:rsid w:val="02094A42"/>
    <w:rsid w:val="02191B93"/>
    <w:rsid w:val="02296D76"/>
    <w:rsid w:val="022A1D94"/>
    <w:rsid w:val="023E04DB"/>
    <w:rsid w:val="02BE582C"/>
    <w:rsid w:val="02C44E0D"/>
    <w:rsid w:val="03060F81"/>
    <w:rsid w:val="0374413D"/>
    <w:rsid w:val="03D97E98"/>
    <w:rsid w:val="044C50BA"/>
    <w:rsid w:val="046E1A19"/>
    <w:rsid w:val="047407AB"/>
    <w:rsid w:val="04936845"/>
    <w:rsid w:val="04B35139"/>
    <w:rsid w:val="04D72BD5"/>
    <w:rsid w:val="04DA4474"/>
    <w:rsid w:val="050F6813"/>
    <w:rsid w:val="05660343"/>
    <w:rsid w:val="058368B9"/>
    <w:rsid w:val="05905D20"/>
    <w:rsid w:val="05940103"/>
    <w:rsid w:val="05B44CC5"/>
    <w:rsid w:val="05BD1DA1"/>
    <w:rsid w:val="05C87F3A"/>
    <w:rsid w:val="05E355AA"/>
    <w:rsid w:val="06262826"/>
    <w:rsid w:val="062736E9"/>
    <w:rsid w:val="065A418B"/>
    <w:rsid w:val="06D80B10"/>
    <w:rsid w:val="077C22D7"/>
    <w:rsid w:val="07B729E3"/>
    <w:rsid w:val="07CD02C0"/>
    <w:rsid w:val="084C38DA"/>
    <w:rsid w:val="085B1D6F"/>
    <w:rsid w:val="085C6810"/>
    <w:rsid w:val="086C1BEB"/>
    <w:rsid w:val="08803584"/>
    <w:rsid w:val="08A7404B"/>
    <w:rsid w:val="08EB30F3"/>
    <w:rsid w:val="097C01EF"/>
    <w:rsid w:val="097C1F9D"/>
    <w:rsid w:val="099948FD"/>
    <w:rsid w:val="099B5E45"/>
    <w:rsid w:val="09AA1703"/>
    <w:rsid w:val="09B81FF8"/>
    <w:rsid w:val="0A27015B"/>
    <w:rsid w:val="0A4244B6"/>
    <w:rsid w:val="0A7B0438"/>
    <w:rsid w:val="0AB67731"/>
    <w:rsid w:val="0B492ADD"/>
    <w:rsid w:val="0B6251C3"/>
    <w:rsid w:val="0B703EB9"/>
    <w:rsid w:val="0BAD211A"/>
    <w:rsid w:val="0BD14403"/>
    <w:rsid w:val="0BFF3B0E"/>
    <w:rsid w:val="0C032502"/>
    <w:rsid w:val="0C232BA4"/>
    <w:rsid w:val="0C776A4C"/>
    <w:rsid w:val="0C851169"/>
    <w:rsid w:val="0C8A677F"/>
    <w:rsid w:val="0CD45F3C"/>
    <w:rsid w:val="0CDE6ACB"/>
    <w:rsid w:val="0D906017"/>
    <w:rsid w:val="0D9C49BC"/>
    <w:rsid w:val="0DC12675"/>
    <w:rsid w:val="0DC857B1"/>
    <w:rsid w:val="0DCB34F3"/>
    <w:rsid w:val="0DF06AB6"/>
    <w:rsid w:val="0DF36AFF"/>
    <w:rsid w:val="0DFD3D92"/>
    <w:rsid w:val="0DFE5677"/>
    <w:rsid w:val="0E1C39FC"/>
    <w:rsid w:val="0E5C5EAE"/>
    <w:rsid w:val="0E6B3C77"/>
    <w:rsid w:val="0E76520D"/>
    <w:rsid w:val="0EE3661B"/>
    <w:rsid w:val="0EFF16A6"/>
    <w:rsid w:val="0F096081"/>
    <w:rsid w:val="0F0F648C"/>
    <w:rsid w:val="0F3D5D2B"/>
    <w:rsid w:val="0F4B796A"/>
    <w:rsid w:val="0F9067A2"/>
    <w:rsid w:val="0FA364D6"/>
    <w:rsid w:val="0FCD5301"/>
    <w:rsid w:val="0FF22FB9"/>
    <w:rsid w:val="100462A4"/>
    <w:rsid w:val="10060813"/>
    <w:rsid w:val="10100615"/>
    <w:rsid w:val="102223FD"/>
    <w:rsid w:val="1025513D"/>
    <w:rsid w:val="104B091B"/>
    <w:rsid w:val="10686DD7"/>
    <w:rsid w:val="106A6FF4"/>
    <w:rsid w:val="10BA54BD"/>
    <w:rsid w:val="10CD79F2"/>
    <w:rsid w:val="10D34B99"/>
    <w:rsid w:val="11357601"/>
    <w:rsid w:val="114208BC"/>
    <w:rsid w:val="11877731"/>
    <w:rsid w:val="11986323"/>
    <w:rsid w:val="11996010"/>
    <w:rsid w:val="11C6418C"/>
    <w:rsid w:val="11D0732A"/>
    <w:rsid w:val="11D113C2"/>
    <w:rsid w:val="11E46932"/>
    <w:rsid w:val="11FD79F3"/>
    <w:rsid w:val="120B0362"/>
    <w:rsid w:val="120D40DA"/>
    <w:rsid w:val="122B4561"/>
    <w:rsid w:val="12547EAC"/>
    <w:rsid w:val="12B26A30"/>
    <w:rsid w:val="12C10A21"/>
    <w:rsid w:val="12CC409A"/>
    <w:rsid w:val="12CD3819"/>
    <w:rsid w:val="12CF75E2"/>
    <w:rsid w:val="12F54B98"/>
    <w:rsid w:val="131337B5"/>
    <w:rsid w:val="13382C11"/>
    <w:rsid w:val="13456A27"/>
    <w:rsid w:val="135875D7"/>
    <w:rsid w:val="135F316F"/>
    <w:rsid w:val="139B3968"/>
    <w:rsid w:val="13A02D2C"/>
    <w:rsid w:val="13C976AE"/>
    <w:rsid w:val="13CB7DA9"/>
    <w:rsid w:val="13D9789A"/>
    <w:rsid w:val="13F05A62"/>
    <w:rsid w:val="13F54E26"/>
    <w:rsid w:val="14795A57"/>
    <w:rsid w:val="14AA3E63"/>
    <w:rsid w:val="14DF1632"/>
    <w:rsid w:val="14EF5D19"/>
    <w:rsid w:val="14FB2C15"/>
    <w:rsid w:val="15126B7C"/>
    <w:rsid w:val="15127C5A"/>
    <w:rsid w:val="154C5373"/>
    <w:rsid w:val="15981F0D"/>
    <w:rsid w:val="15BB3E4D"/>
    <w:rsid w:val="15BD7BC5"/>
    <w:rsid w:val="15D62B87"/>
    <w:rsid w:val="1695469E"/>
    <w:rsid w:val="16BF34C9"/>
    <w:rsid w:val="16CA7F95"/>
    <w:rsid w:val="17210DCB"/>
    <w:rsid w:val="172A1DE8"/>
    <w:rsid w:val="173F7DA8"/>
    <w:rsid w:val="176D5C4E"/>
    <w:rsid w:val="179B3DA5"/>
    <w:rsid w:val="183A6967"/>
    <w:rsid w:val="18512847"/>
    <w:rsid w:val="186D58D3"/>
    <w:rsid w:val="188350F6"/>
    <w:rsid w:val="188D1AD1"/>
    <w:rsid w:val="19061883"/>
    <w:rsid w:val="190D0988"/>
    <w:rsid w:val="193C2319"/>
    <w:rsid w:val="19534476"/>
    <w:rsid w:val="19600F94"/>
    <w:rsid w:val="19904ED2"/>
    <w:rsid w:val="19F316BA"/>
    <w:rsid w:val="1A143B2C"/>
    <w:rsid w:val="1A19334E"/>
    <w:rsid w:val="1A226249"/>
    <w:rsid w:val="1A267164"/>
    <w:rsid w:val="1A321046"/>
    <w:rsid w:val="1A671B25"/>
    <w:rsid w:val="1A6E76E0"/>
    <w:rsid w:val="1A8962C8"/>
    <w:rsid w:val="1A9B173B"/>
    <w:rsid w:val="1AC90DBB"/>
    <w:rsid w:val="1B5468D6"/>
    <w:rsid w:val="1B724FAE"/>
    <w:rsid w:val="1B7F28FC"/>
    <w:rsid w:val="1B8F49C6"/>
    <w:rsid w:val="1B9A5AED"/>
    <w:rsid w:val="1BC97EC4"/>
    <w:rsid w:val="1C1842CF"/>
    <w:rsid w:val="1C2362A8"/>
    <w:rsid w:val="1C2660B8"/>
    <w:rsid w:val="1C273FEB"/>
    <w:rsid w:val="1C2A7652"/>
    <w:rsid w:val="1C3769A5"/>
    <w:rsid w:val="1C417A87"/>
    <w:rsid w:val="1C7A2A16"/>
    <w:rsid w:val="1D212ADB"/>
    <w:rsid w:val="1D232A04"/>
    <w:rsid w:val="1D243E69"/>
    <w:rsid w:val="1D5D471C"/>
    <w:rsid w:val="1D840FC9"/>
    <w:rsid w:val="1D8540A1"/>
    <w:rsid w:val="1DAE09D1"/>
    <w:rsid w:val="1DE17CD6"/>
    <w:rsid w:val="1E0326B9"/>
    <w:rsid w:val="1E1D56A5"/>
    <w:rsid w:val="1E5E181A"/>
    <w:rsid w:val="1E6E4153"/>
    <w:rsid w:val="1E71154D"/>
    <w:rsid w:val="1EFD252E"/>
    <w:rsid w:val="1F1C3BAF"/>
    <w:rsid w:val="1F2278C6"/>
    <w:rsid w:val="1F340F2B"/>
    <w:rsid w:val="1F3F3C07"/>
    <w:rsid w:val="1F882656"/>
    <w:rsid w:val="1FF8382A"/>
    <w:rsid w:val="20B9644D"/>
    <w:rsid w:val="20DB1848"/>
    <w:rsid w:val="20E93F65"/>
    <w:rsid w:val="210D26FB"/>
    <w:rsid w:val="21464F13"/>
    <w:rsid w:val="215D400B"/>
    <w:rsid w:val="216A0307"/>
    <w:rsid w:val="218F6BFE"/>
    <w:rsid w:val="21953DB5"/>
    <w:rsid w:val="21AE4866"/>
    <w:rsid w:val="21CB27F1"/>
    <w:rsid w:val="21D106FB"/>
    <w:rsid w:val="21D918C4"/>
    <w:rsid w:val="21EA1E51"/>
    <w:rsid w:val="220B1CB9"/>
    <w:rsid w:val="22280ABD"/>
    <w:rsid w:val="22806203"/>
    <w:rsid w:val="22B660C8"/>
    <w:rsid w:val="22C829A6"/>
    <w:rsid w:val="22CD2F8A"/>
    <w:rsid w:val="22E07C0E"/>
    <w:rsid w:val="22F02621"/>
    <w:rsid w:val="233314C7"/>
    <w:rsid w:val="2333514E"/>
    <w:rsid w:val="23492A98"/>
    <w:rsid w:val="23A77F90"/>
    <w:rsid w:val="23D82BE9"/>
    <w:rsid w:val="23EA427B"/>
    <w:rsid w:val="24101813"/>
    <w:rsid w:val="24156E1F"/>
    <w:rsid w:val="24311EAA"/>
    <w:rsid w:val="245F079E"/>
    <w:rsid w:val="246062EC"/>
    <w:rsid w:val="246B4E11"/>
    <w:rsid w:val="24A361D8"/>
    <w:rsid w:val="24CE6272"/>
    <w:rsid w:val="24E21C25"/>
    <w:rsid w:val="25072C0B"/>
    <w:rsid w:val="250E0AED"/>
    <w:rsid w:val="25164BFC"/>
    <w:rsid w:val="255817A6"/>
    <w:rsid w:val="257F27A2"/>
    <w:rsid w:val="25A8619C"/>
    <w:rsid w:val="25A91F14"/>
    <w:rsid w:val="25D6438C"/>
    <w:rsid w:val="25D916AC"/>
    <w:rsid w:val="25E35426"/>
    <w:rsid w:val="26045C60"/>
    <w:rsid w:val="262666FE"/>
    <w:rsid w:val="263F63D5"/>
    <w:rsid w:val="26702B51"/>
    <w:rsid w:val="26761F50"/>
    <w:rsid w:val="268C0615"/>
    <w:rsid w:val="26C80178"/>
    <w:rsid w:val="26F0351F"/>
    <w:rsid w:val="26FB00A2"/>
    <w:rsid w:val="27201D62"/>
    <w:rsid w:val="27363334"/>
    <w:rsid w:val="27764078"/>
    <w:rsid w:val="27A42993"/>
    <w:rsid w:val="27DD7C53"/>
    <w:rsid w:val="282C6B05"/>
    <w:rsid w:val="284D302B"/>
    <w:rsid w:val="285F2D5E"/>
    <w:rsid w:val="287140DC"/>
    <w:rsid w:val="28F33BD2"/>
    <w:rsid w:val="28F96F35"/>
    <w:rsid w:val="29011282"/>
    <w:rsid w:val="29037B7A"/>
    <w:rsid w:val="29161C3B"/>
    <w:rsid w:val="29714AF7"/>
    <w:rsid w:val="298B2D1C"/>
    <w:rsid w:val="299733D5"/>
    <w:rsid w:val="29A2565C"/>
    <w:rsid w:val="29C8074C"/>
    <w:rsid w:val="29CC61D1"/>
    <w:rsid w:val="29CE03A5"/>
    <w:rsid w:val="29D82DC8"/>
    <w:rsid w:val="2A4D5059"/>
    <w:rsid w:val="2A8F130C"/>
    <w:rsid w:val="2AB63454"/>
    <w:rsid w:val="2AE337D3"/>
    <w:rsid w:val="2AE566D6"/>
    <w:rsid w:val="2B133171"/>
    <w:rsid w:val="2B316E3C"/>
    <w:rsid w:val="2B356FF3"/>
    <w:rsid w:val="2B6E42C9"/>
    <w:rsid w:val="2B743120"/>
    <w:rsid w:val="2B775C5C"/>
    <w:rsid w:val="2B7F799F"/>
    <w:rsid w:val="2BA47406"/>
    <w:rsid w:val="2BA67203"/>
    <w:rsid w:val="2BA80578"/>
    <w:rsid w:val="2BB67139"/>
    <w:rsid w:val="2BC5112A"/>
    <w:rsid w:val="2BE710A1"/>
    <w:rsid w:val="2BF10217"/>
    <w:rsid w:val="2C0C5DB9"/>
    <w:rsid w:val="2C611446"/>
    <w:rsid w:val="2C730B86"/>
    <w:rsid w:val="2C7E7C57"/>
    <w:rsid w:val="2CAD4098"/>
    <w:rsid w:val="2CB46EBD"/>
    <w:rsid w:val="2CBD0053"/>
    <w:rsid w:val="2CD260FA"/>
    <w:rsid w:val="2CDF7FCA"/>
    <w:rsid w:val="2D66247D"/>
    <w:rsid w:val="2DEA131C"/>
    <w:rsid w:val="2DEE2BBA"/>
    <w:rsid w:val="2E020414"/>
    <w:rsid w:val="2E267CD1"/>
    <w:rsid w:val="2E310CF9"/>
    <w:rsid w:val="2E314855"/>
    <w:rsid w:val="2E3903E0"/>
    <w:rsid w:val="2ECD6C74"/>
    <w:rsid w:val="2EE87609"/>
    <w:rsid w:val="2F42642C"/>
    <w:rsid w:val="2F496394"/>
    <w:rsid w:val="2F727962"/>
    <w:rsid w:val="2F93422D"/>
    <w:rsid w:val="2FA3160B"/>
    <w:rsid w:val="2FD602BF"/>
    <w:rsid w:val="2FF55592"/>
    <w:rsid w:val="30093CDB"/>
    <w:rsid w:val="30297EDA"/>
    <w:rsid w:val="304545E8"/>
    <w:rsid w:val="304E5B92"/>
    <w:rsid w:val="30692825"/>
    <w:rsid w:val="307F3F9D"/>
    <w:rsid w:val="30843362"/>
    <w:rsid w:val="30B359F5"/>
    <w:rsid w:val="30BA6708"/>
    <w:rsid w:val="30E91417"/>
    <w:rsid w:val="310F3573"/>
    <w:rsid w:val="312B1A2F"/>
    <w:rsid w:val="31F42E7B"/>
    <w:rsid w:val="32190033"/>
    <w:rsid w:val="32765EFE"/>
    <w:rsid w:val="3290084A"/>
    <w:rsid w:val="32DA370D"/>
    <w:rsid w:val="331022D3"/>
    <w:rsid w:val="33296443"/>
    <w:rsid w:val="332E5CC5"/>
    <w:rsid w:val="334132B8"/>
    <w:rsid w:val="33477A78"/>
    <w:rsid w:val="33BE302F"/>
    <w:rsid w:val="34294FC2"/>
    <w:rsid w:val="34364798"/>
    <w:rsid w:val="343C2C15"/>
    <w:rsid w:val="34403A44"/>
    <w:rsid w:val="3476207C"/>
    <w:rsid w:val="347B0F20"/>
    <w:rsid w:val="34962DF3"/>
    <w:rsid w:val="34E06239"/>
    <w:rsid w:val="34E47C6D"/>
    <w:rsid w:val="35301D0A"/>
    <w:rsid w:val="354D6418"/>
    <w:rsid w:val="355754E9"/>
    <w:rsid w:val="35AB75E3"/>
    <w:rsid w:val="35F745D6"/>
    <w:rsid w:val="36161B62"/>
    <w:rsid w:val="36447609"/>
    <w:rsid w:val="365319B0"/>
    <w:rsid w:val="36A93B22"/>
    <w:rsid w:val="36F54FB9"/>
    <w:rsid w:val="371A4A20"/>
    <w:rsid w:val="37441A9D"/>
    <w:rsid w:val="37904CE2"/>
    <w:rsid w:val="37B27395"/>
    <w:rsid w:val="37B7570B"/>
    <w:rsid w:val="38685317"/>
    <w:rsid w:val="38B62143"/>
    <w:rsid w:val="38D43E1A"/>
    <w:rsid w:val="38F52C52"/>
    <w:rsid w:val="38FB4E95"/>
    <w:rsid w:val="392A6A70"/>
    <w:rsid w:val="396F603F"/>
    <w:rsid w:val="3986798D"/>
    <w:rsid w:val="398C3287"/>
    <w:rsid w:val="39972358"/>
    <w:rsid w:val="39B5458C"/>
    <w:rsid w:val="39D37AEE"/>
    <w:rsid w:val="3A0472C2"/>
    <w:rsid w:val="3A3C7179"/>
    <w:rsid w:val="3A4148C7"/>
    <w:rsid w:val="3A59760D"/>
    <w:rsid w:val="3A685AA2"/>
    <w:rsid w:val="3A775CE5"/>
    <w:rsid w:val="3AB900AC"/>
    <w:rsid w:val="3ABE4BCF"/>
    <w:rsid w:val="3AD214A0"/>
    <w:rsid w:val="3B3603EA"/>
    <w:rsid w:val="3B424545"/>
    <w:rsid w:val="3B44206B"/>
    <w:rsid w:val="3B7F4E52"/>
    <w:rsid w:val="3BF07AFD"/>
    <w:rsid w:val="3C9B66E6"/>
    <w:rsid w:val="3D0221DE"/>
    <w:rsid w:val="3D0B1BDC"/>
    <w:rsid w:val="3D65451B"/>
    <w:rsid w:val="3D913562"/>
    <w:rsid w:val="3DC345ED"/>
    <w:rsid w:val="3DCD33AE"/>
    <w:rsid w:val="3DD10B11"/>
    <w:rsid w:val="3E045AE2"/>
    <w:rsid w:val="3E4D56DB"/>
    <w:rsid w:val="3E6A2955"/>
    <w:rsid w:val="3E7C1B1C"/>
    <w:rsid w:val="3E8D1F7B"/>
    <w:rsid w:val="3E902A1D"/>
    <w:rsid w:val="3EEF0540"/>
    <w:rsid w:val="3F0A7128"/>
    <w:rsid w:val="3F19380F"/>
    <w:rsid w:val="3F1F2D1F"/>
    <w:rsid w:val="3F2F6BCA"/>
    <w:rsid w:val="3F3441A5"/>
    <w:rsid w:val="3F5D36FC"/>
    <w:rsid w:val="3FE2019B"/>
    <w:rsid w:val="401F09B1"/>
    <w:rsid w:val="40775408"/>
    <w:rsid w:val="40C94C89"/>
    <w:rsid w:val="40CD2B03"/>
    <w:rsid w:val="40CD48B1"/>
    <w:rsid w:val="40D65444"/>
    <w:rsid w:val="40F24318"/>
    <w:rsid w:val="411E0E78"/>
    <w:rsid w:val="415015B9"/>
    <w:rsid w:val="41913B31"/>
    <w:rsid w:val="41962EF5"/>
    <w:rsid w:val="41B30E75"/>
    <w:rsid w:val="41BA303A"/>
    <w:rsid w:val="41C37A62"/>
    <w:rsid w:val="41D1217F"/>
    <w:rsid w:val="41E974C9"/>
    <w:rsid w:val="422327B6"/>
    <w:rsid w:val="42245F5D"/>
    <w:rsid w:val="42257CFA"/>
    <w:rsid w:val="42430E57"/>
    <w:rsid w:val="424E1A22"/>
    <w:rsid w:val="42DC527F"/>
    <w:rsid w:val="42EE2D93"/>
    <w:rsid w:val="430572D9"/>
    <w:rsid w:val="433C5D1E"/>
    <w:rsid w:val="43456981"/>
    <w:rsid w:val="43627BF4"/>
    <w:rsid w:val="43655275"/>
    <w:rsid w:val="43881B76"/>
    <w:rsid w:val="4392593E"/>
    <w:rsid w:val="43B35FE0"/>
    <w:rsid w:val="43C13821"/>
    <w:rsid w:val="440B3168"/>
    <w:rsid w:val="442C2570"/>
    <w:rsid w:val="444C1F91"/>
    <w:rsid w:val="445F1CC4"/>
    <w:rsid w:val="447B1636"/>
    <w:rsid w:val="44D332B4"/>
    <w:rsid w:val="44F05012"/>
    <w:rsid w:val="451707F1"/>
    <w:rsid w:val="45244E7C"/>
    <w:rsid w:val="455235D7"/>
    <w:rsid w:val="45603F46"/>
    <w:rsid w:val="45857508"/>
    <w:rsid w:val="4597723C"/>
    <w:rsid w:val="45A1630C"/>
    <w:rsid w:val="45BC6CA2"/>
    <w:rsid w:val="45C3066E"/>
    <w:rsid w:val="45DE30BD"/>
    <w:rsid w:val="462211FB"/>
    <w:rsid w:val="46584C1D"/>
    <w:rsid w:val="4662784A"/>
    <w:rsid w:val="467F21AA"/>
    <w:rsid w:val="468C5C3B"/>
    <w:rsid w:val="469D4D26"/>
    <w:rsid w:val="46B21C2E"/>
    <w:rsid w:val="46B856BC"/>
    <w:rsid w:val="46D70238"/>
    <w:rsid w:val="46E82862"/>
    <w:rsid w:val="46FE3360"/>
    <w:rsid w:val="46FE3A16"/>
    <w:rsid w:val="47152B0E"/>
    <w:rsid w:val="4734568A"/>
    <w:rsid w:val="47812FC7"/>
    <w:rsid w:val="480A1F47"/>
    <w:rsid w:val="48403BBB"/>
    <w:rsid w:val="48F4311E"/>
    <w:rsid w:val="48FF5824"/>
    <w:rsid w:val="493535ED"/>
    <w:rsid w:val="49402257"/>
    <w:rsid w:val="49434FA7"/>
    <w:rsid w:val="49584F34"/>
    <w:rsid w:val="49807E6F"/>
    <w:rsid w:val="49C92560"/>
    <w:rsid w:val="49F904C5"/>
    <w:rsid w:val="4A6F2535"/>
    <w:rsid w:val="4A934476"/>
    <w:rsid w:val="4AA46948"/>
    <w:rsid w:val="4B0B4954"/>
    <w:rsid w:val="4B0E2CDE"/>
    <w:rsid w:val="4B4614E8"/>
    <w:rsid w:val="4BED22AB"/>
    <w:rsid w:val="4BEE4070"/>
    <w:rsid w:val="4C004000"/>
    <w:rsid w:val="4C084E57"/>
    <w:rsid w:val="4C1A7EF0"/>
    <w:rsid w:val="4C215AB1"/>
    <w:rsid w:val="4CA33F67"/>
    <w:rsid w:val="4CD40D75"/>
    <w:rsid w:val="4D115B26"/>
    <w:rsid w:val="4D1A4ED3"/>
    <w:rsid w:val="4D2D4BAA"/>
    <w:rsid w:val="4D302450"/>
    <w:rsid w:val="4D407471"/>
    <w:rsid w:val="4D457EC8"/>
    <w:rsid w:val="4D6E2F78"/>
    <w:rsid w:val="4D785BA5"/>
    <w:rsid w:val="4D810EFD"/>
    <w:rsid w:val="4D91753F"/>
    <w:rsid w:val="4D97427D"/>
    <w:rsid w:val="4D9A1FBF"/>
    <w:rsid w:val="4DA644C0"/>
    <w:rsid w:val="4DAB5F7A"/>
    <w:rsid w:val="4E0E2891"/>
    <w:rsid w:val="4E1C29D4"/>
    <w:rsid w:val="4E2026EE"/>
    <w:rsid w:val="4E2A50F1"/>
    <w:rsid w:val="4E5A52AA"/>
    <w:rsid w:val="4E620FCD"/>
    <w:rsid w:val="4E854A1D"/>
    <w:rsid w:val="4E914DD6"/>
    <w:rsid w:val="4E9702AC"/>
    <w:rsid w:val="4EA60109"/>
    <w:rsid w:val="4F1418FD"/>
    <w:rsid w:val="4F585C8E"/>
    <w:rsid w:val="4F986314"/>
    <w:rsid w:val="4FE94B38"/>
    <w:rsid w:val="50575F45"/>
    <w:rsid w:val="509213D2"/>
    <w:rsid w:val="50CC248F"/>
    <w:rsid w:val="50DA4AED"/>
    <w:rsid w:val="50E33C7D"/>
    <w:rsid w:val="50EC0D83"/>
    <w:rsid w:val="515801C7"/>
    <w:rsid w:val="519C43BA"/>
    <w:rsid w:val="51BB2504"/>
    <w:rsid w:val="51D00906"/>
    <w:rsid w:val="520B5239"/>
    <w:rsid w:val="522307D5"/>
    <w:rsid w:val="526A08D2"/>
    <w:rsid w:val="52700CCE"/>
    <w:rsid w:val="52771802"/>
    <w:rsid w:val="52B9348A"/>
    <w:rsid w:val="530A3743"/>
    <w:rsid w:val="53133DEE"/>
    <w:rsid w:val="531B0A73"/>
    <w:rsid w:val="53326DD8"/>
    <w:rsid w:val="536B2FE6"/>
    <w:rsid w:val="537D2167"/>
    <w:rsid w:val="53A70F92"/>
    <w:rsid w:val="53E45D42"/>
    <w:rsid w:val="540B5C9B"/>
    <w:rsid w:val="54112699"/>
    <w:rsid w:val="54240834"/>
    <w:rsid w:val="547277F2"/>
    <w:rsid w:val="547F3CBD"/>
    <w:rsid w:val="54814026"/>
    <w:rsid w:val="5486504B"/>
    <w:rsid w:val="54AB2899"/>
    <w:rsid w:val="54BC281B"/>
    <w:rsid w:val="54C709E6"/>
    <w:rsid w:val="54CA318A"/>
    <w:rsid w:val="54F36330"/>
    <w:rsid w:val="55235853"/>
    <w:rsid w:val="553B4087"/>
    <w:rsid w:val="554D1A31"/>
    <w:rsid w:val="557A3EC0"/>
    <w:rsid w:val="55BF0E8C"/>
    <w:rsid w:val="55CE1AA9"/>
    <w:rsid w:val="56121B50"/>
    <w:rsid w:val="568832FC"/>
    <w:rsid w:val="56DB3766"/>
    <w:rsid w:val="56E46059"/>
    <w:rsid w:val="56ED7603"/>
    <w:rsid w:val="56F00EA2"/>
    <w:rsid w:val="56FA762A"/>
    <w:rsid w:val="56FC15F5"/>
    <w:rsid w:val="570566FB"/>
    <w:rsid w:val="57430FD1"/>
    <w:rsid w:val="57541431"/>
    <w:rsid w:val="576C677A"/>
    <w:rsid w:val="580C3AB9"/>
    <w:rsid w:val="583B48F5"/>
    <w:rsid w:val="5853143B"/>
    <w:rsid w:val="589B3026"/>
    <w:rsid w:val="58C3686E"/>
    <w:rsid w:val="59017396"/>
    <w:rsid w:val="591A3FB4"/>
    <w:rsid w:val="591F15CA"/>
    <w:rsid w:val="594F45CB"/>
    <w:rsid w:val="595C637A"/>
    <w:rsid w:val="596F2D8B"/>
    <w:rsid w:val="59814F23"/>
    <w:rsid w:val="599B6EA3"/>
    <w:rsid w:val="599F37FD"/>
    <w:rsid w:val="59B47F65"/>
    <w:rsid w:val="59EC5950"/>
    <w:rsid w:val="5A1645DA"/>
    <w:rsid w:val="5A364E1D"/>
    <w:rsid w:val="5A44753A"/>
    <w:rsid w:val="5A4D7EE7"/>
    <w:rsid w:val="5AA12BDF"/>
    <w:rsid w:val="5BD12BF7"/>
    <w:rsid w:val="5BD13050"/>
    <w:rsid w:val="5C0A0310"/>
    <w:rsid w:val="5C115B42"/>
    <w:rsid w:val="5C2042B0"/>
    <w:rsid w:val="5C53335D"/>
    <w:rsid w:val="5C642116"/>
    <w:rsid w:val="5C720816"/>
    <w:rsid w:val="5C91458D"/>
    <w:rsid w:val="5CC97CA6"/>
    <w:rsid w:val="5CCD7D24"/>
    <w:rsid w:val="5CFC3DED"/>
    <w:rsid w:val="5D415FB3"/>
    <w:rsid w:val="5D9E1657"/>
    <w:rsid w:val="5DB46785"/>
    <w:rsid w:val="5E1E00A2"/>
    <w:rsid w:val="5E211941"/>
    <w:rsid w:val="5E5977EA"/>
    <w:rsid w:val="5E90588A"/>
    <w:rsid w:val="5EB804F7"/>
    <w:rsid w:val="5F1C6A9B"/>
    <w:rsid w:val="5F2E3AC8"/>
    <w:rsid w:val="5F3B723E"/>
    <w:rsid w:val="5F664F89"/>
    <w:rsid w:val="5F681F1D"/>
    <w:rsid w:val="5FDE21DF"/>
    <w:rsid w:val="5FE1582B"/>
    <w:rsid w:val="5FEA0B84"/>
    <w:rsid w:val="5FEB0FA6"/>
    <w:rsid w:val="6017749F"/>
    <w:rsid w:val="601E6BB2"/>
    <w:rsid w:val="60AF08A8"/>
    <w:rsid w:val="60BB0A7A"/>
    <w:rsid w:val="60D94755"/>
    <w:rsid w:val="60E24467"/>
    <w:rsid w:val="61055BC4"/>
    <w:rsid w:val="610B0DB2"/>
    <w:rsid w:val="613F0A5C"/>
    <w:rsid w:val="61742A83"/>
    <w:rsid w:val="61785D1C"/>
    <w:rsid w:val="618E553F"/>
    <w:rsid w:val="619B6794"/>
    <w:rsid w:val="61A11716"/>
    <w:rsid w:val="61BF7DEE"/>
    <w:rsid w:val="61EC6F36"/>
    <w:rsid w:val="62183101"/>
    <w:rsid w:val="622D4D58"/>
    <w:rsid w:val="62606EDB"/>
    <w:rsid w:val="62B611F1"/>
    <w:rsid w:val="62C256EB"/>
    <w:rsid w:val="62FA0E4E"/>
    <w:rsid w:val="631877B6"/>
    <w:rsid w:val="633640E0"/>
    <w:rsid w:val="634611D8"/>
    <w:rsid w:val="63473BF7"/>
    <w:rsid w:val="63627A9D"/>
    <w:rsid w:val="639926E5"/>
    <w:rsid w:val="63C67883"/>
    <w:rsid w:val="63F57AF7"/>
    <w:rsid w:val="64085A7D"/>
    <w:rsid w:val="641D7175"/>
    <w:rsid w:val="641E704E"/>
    <w:rsid w:val="643F314F"/>
    <w:rsid w:val="645A5BAC"/>
    <w:rsid w:val="64E7091E"/>
    <w:rsid w:val="64EF2799"/>
    <w:rsid w:val="6511361B"/>
    <w:rsid w:val="652854D9"/>
    <w:rsid w:val="65A92B46"/>
    <w:rsid w:val="65D57BE0"/>
    <w:rsid w:val="65E41BD1"/>
    <w:rsid w:val="65F77B57"/>
    <w:rsid w:val="660304E3"/>
    <w:rsid w:val="661B1ADF"/>
    <w:rsid w:val="662D17CA"/>
    <w:rsid w:val="662E01FD"/>
    <w:rsid w:val="66315148"/>
    <w:rsid w:val="66482F24"/>
    <w:rsid w:val="664E34EF"/>
    <w:rsid w:val="66A650D9"/>
    <w:rsid w:val="66AD290B"/>
    <w:rsid w:val="66BC66AA"/>
    <w:rsid w:val="66BC70A8"/>
    <w:rsid w:val="66E77BCB"/>
    <w:rsid w:val="66E83943"/>
    <w:rsid w:val="66F0778C"/>
    <w:rsid w:val="674C5428"/>
    <w:rsid w:val="67B83316"/>
    <w:rsid w:val="67BF3619"/>
    <w:rsid w:val="67C033E3"/>
    <w:rsid w:val="67E0736C"/>
    <w:rsid w:val="67F00D02"/>
    <w:rsid w:val="68032ACF"/>
    <w:rsid w:val="680974B1"/>
    <w:rsid w:val="68170047"/>
    <w:rsid w:val="68525518"/>
    <w:rsid w:val="68620403"/>
    <w:rsid w:val="687F3264"/>
    <w:rsid w:val="68882CE8"/>
    <w:rsid w:val="68C83FA6"/>
    <w:rsid w:val="69216C99"/>
    <w:rsid w:val="69531548"/>
    <w:rsid w:val="695928D6"/>
    <w:rsid w:val="69735746"/>
    <w:rsid w:val="697B0A9F"/>
    <w:rsid w:val="69870E21"/>
    <w:rsid w:val="69886D18"/>
    <w:rsid w:val="6A1B7F5A"/>
    <w:rsid w:val="6A224CF8"/>
    <w:rsid w:val="6A38073E"/>
    <w:rsid w:val="6A4D0B60"/>
    <w:rsid w:val="6A5405E4"/>
    <w:rsid w:val="6A67712E"/>
    <w:rsid w:val="6AA47D04"/>
    <w:rsid w:val="6ACA583A"/>
    <w:rsid w:val="6AD04092"/>
    <w:rsid w:val="6AEB57B0"/>
    <w:rsid w:val="6AEE69E5"/>
    <w:rsid w:val="6B367F1D"/>
    <w:rsid w:val="6B460C38"/>
    <w:rsid w:val="6B693E65"/>
    <w:rsid w:val="6B807383"/>
    <w:rsid w:val="6B985938"/>
    <w:rsid w:val="6BCB409D"/>
    <w:rsid w:val="6C2703D2"/>
    <w:rsid w:val="6C4038DA"/>
    <w:rsid w:val="6C47110C"/>
    <w:rsid w:val="6C7812C6"/>
    <w:rsid w:val="6C7A3290"/>
    <w:rsid w:val="6C93553A"/>
    <w:rsid w:val="6CC10EBE"/>
    <w:rsid w:val="6CCD2612"/>
    <w:rsid w:val="6CDC718B"/>
    <w:rsid w:val="6CDE55CC"/>
    <w:rsid w:val="6D0B038C"/>
    <w:rsid w:val="6D9A53C8"/>
    <w:rsid w:val="6DA1597C"/>
    <w:rsid w:val="6DA60035"/>
    <w:rsid w:val="6DCB1036"/>
    <w:rsid w:val="6E0C43BB"/>
    <w:rsid w:val="6E275496"/>
    <w:rsid w:val="6E2B0BE2"/>
    <w:rsid w:val="6E34753E"/>
    <w:rsid w:val="6E3C6AFD"/>
    <w:rsid w:val="6E602011"/>
    <w:rsid w:val="6E646C78"/>
    <w:rsid w:val="6E922B12"/>
    <w:rsid w:val="6EAB7C30"/>
    <w:rsid w:val="6F1D4DB2"/>
    <w:rsid w:val="6F1E7F02"/>
    <w:rsid w:val="6F3E05A4"/>
    <w:rsid w:val="6F3F0FFE"/>
    <w:rsid w:val="6F4E0D65"/>
    <w:rsid w:val="6F6B7429"/>
    <w:rsid w:val="6F72126A"/>
    <w:rsid w:val="6F8B1310"/>
    <w:rsid w:val="6FA32AFD"/>
    <w:rsid w:val="6FC14D32"/>
    <w:rsid w:val="6FC83359"/>
    <w:rsid w:val="6FE4739E"/>
    <w:rsid w:val="6FF2313D"/>
    <w:rsid w:val="70091DE5"/>
    <w:rsid w:val="7019691C"/>
    <w:rsid w:val="706F478E"/>
    <w:rsid w:val="70A22DB5"/>
    <w:rsid w:val="70BF3967"/>
    <w:rsid w:val="70DD3DED"/>
    <w:rsid w:val="71134414"/>
    <w:rsid w:val="71662FA8"/>
    <w:rsid w:val="71A768D5"/>
    <w:rsid w:val="71F81A9F"/>
    <w:rsid w:val="721101F2"/>
    <w:rsid w:val="73057E68"/>
    <w:rsid w:val="7315161C"/>
    <w:rsid w:val="733D0B73"/>
    <w:rsid w:val="733F0D8F"/>
    <w:rsid w:val="73697146"/>
    <w:rsid w:val="739E5AB6"/>
    <w:rsid w:val="73BC418E"/>
    <w:rsid w:val="73E839E9"/>
    <w:rsid w:val="74491392"/>
    <w:rsid w:val="7496678D"/>
    <w:rsid w:val="749A6784"/>
    <w:rsid w:val="74B84955"/>
    <w:rsid w:val="74D53759"/>
    <w:rsid w:val="750D6131"/>
    <w:rsid w:val="75391419"/>
    <w:rsid w:val="75856710"/>
    <w:rsid w:val="7591106A"/>
    <w:rsid w:val="75F36ED5"/>
    <w:rsid w:val="76147C2D"/>
    <w:rsid w:val="76377AFB"/>
    <w:rsid w:val="76477B2E"/>
    <w:rsid w:val="76516E0F"/>
    <w:rsid w:val="76793006"/>
    <w:rsid w:val="76B8141B"/>
    <w:rsid w:val="76EA3E04"/>
    <w:rsid w:val="76EF3E60"/>
    <w:rsid w:val="76FF686B"/>
    <w:rsid w:val="775A6197"/>
    <w:rsid w:val="77674410"/>
    <w:rsid w:val="777C7EBC"/>
    <w:rsid w:val="77B77146"/>
    <w:rsid w:val="77BC0E3C"/>
    <w:rsid w:val="782347DB"/>
    <w:rsid w:val="784309DA"/>
    <w:rsid w:val="78484242"/>
    <w:rsid w:val="78517B6B"/>
    <w:rsid w:val="78544995"/>
    <w:rsid w:val="789456D9"/>
    <w:rsid w:val="78B31BEE"/>
    <w:rsid w:val="79295E21"/>
    <w:rsid w:val="793D3A1E"/>
    <w:rsid w:val="79401621"/>
    <w:rsid w:val="795C38FA"/>
    <w:rsid w:val="79687B53"/>
    <w:rsid w:val="798412AA"/>
    <w:rsid w:val="799E680F"/>
    <w:rsid w:val="79C8388C"/>
    <w:rsid w:val="79D00993"/>
    <w:rsid w:val="79DF1D42"/>
    <w:rsid w:val="7A2134D3"/>
    <w:rsid w:val="7A6E451B"/>
    <w:rsid w:val="7A770E0E"/>
    <w:rsid w:val="7AC611EE"/>
    <w:rsid w:val="7B0F7299"/>
    <w:rsid w:val="7B104BBD"/>
    <w:rsid w:val="7B2E5E4E"/>
    <w:rsid w:val="7B7F7F7B"/>
    <w:rsid w:val="7BC02341"/>
    <w:rsid w:val="7BC520EE"/>
    <w:rsid w:val="7BD12AC3"/>
    <w:rsid w:val="7BF24BF0"/>
    <w:rsid w:val="7BF74EB3"/>
    <w:rsid w:val="7BFE17E7"/>
    <w:rsid w:val="7C103E9B"/>
    <w:rsid w:val="7C691FF6"/>
    <w:rsid w:val="7C835849"/>
    <w:rsid w:val="7CD761A2"/>
    <w:rsid w:val="7D20753B"/>
    <w:rsid w:val="7D670E28"/>
    <w:rsid w:val="7D9D68AE"/>
    <w:rsid w:val="7DAA194E"/>
    <w:rsid w:val="7DDF11A4"/>
    <w:rsid w:val="7DF32EA2"/>
    <w:rsid w:val="7DF82266"/>
    <w:rsid w:val="7E026C41"/>
    <w:rsid w:val="7E190142"/>
    <w:rsid w:val="7E1C41A7"/>
    <w:rsid w:val="7E3603C4"/>
    <w:rsid w:val="7E4B4A8C"/>
    <w:rsid w:val="7E4F632A"/>
    <w:rsid w:val="7EA55E80"/>
    <w:rsid w:val="7EB51221"/>
    <w:rsid w:val="7EBC14E6"/>
    <w:rsid w:val="7EEA7E01"/>
    <w:rsid w:val="7F302548"/>
    <w:rsid w:val="7F3B065C"/>
    <w:rsid w:val="7F707C50"/>
    <w:rsid w:val="7FA37053"/>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Saturday Sans Regular" w:hAnsi="Saturday Sans Regular" w:eastAsia="宋体" w:cs="Saturday Sans Regular"/>
      <w:lang w:eastAsia="en-US"/>
    </w:rPr>
  </w:style>
  <w:style w:type="paragraph" w:customStyle="1" w:styleId="15">
    <w:name w:val="常规正文格式"/>
    <w:basedOn w:val="1"/>
    <w:autoRedefine/>
    <w:qFormat/>
    <w:uiPriority w:val="0"/>
    <w:pPr>
      <w:widowControl/>
      <w:ind w:firstLine="640" w:firstLineChars="200"/>
    </w:pPr>
    <w:rPr>
      <w:bCs/>
      <w:color w:val="000000"/>
      <w:kern w:val="0"/>
      <w:szCs w:val="32"/>
    </w:rPr>
  </w:style>
  <w:style w:type="paragraph" w:customStyle="1" w:styleId="16">
    <w:name w:val="学生论文正文格式"/>
    <w:basedOn w:val="1"/>
    <w:autoRedefine/>
    <w:qFormat/>
    <w:uiPriority w:val="0"/>
    <w:pPr>
      <w:ind w:firstLine="480" w:firstLineChars="200"/>
    </w:pPr>
    <w:rPr>
      <w:rFonts w:hint="eastAsia" w:eastAsia="宋体"/>
      <w:sz w:val="24"/>
    </w:rPr>
  </w:style>
  <w:style w:type="paragraph" w:customStyle="1" w:styleId="17">
    <w:name w:val="二级标题"/>
    <w:basedOn w:val="3"/>
    <w:qFormat/>
    <w:uiPriority w:val="0"/>
    <w:pPr>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 w:type="paragraph" w:customStyle="1" w:styleId="19">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39</Pages>
  <Words>14250</Words>
  <Characters>14510</Characters>
  <Lines>1229</Lines>
  <Paragraphs>986</Paragraphs>
  <TotalTime>0</TotalTime>
  <ScaleCrop>false</ScaleCrop>
  <LinksUpToDate>false</LinksUpToDate>
  <CharactersWithSpaces>14590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2025-12-02T14:42:45Z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E866818CAE78414587CA3AE677E4360F_13</vt:lpwstr>
  </property>
  <property fmtid="{D5CDD505-2E9C-101B-9397-08002B2CF9AE}" pid="4" name="KSOTemplateDocerSaveRecord">
    <vt:lpwstr>eyJoZGlkIjoiMzEwNTM5NzYwMDRjMzkwZTVkZjY2ODkwMGIxNGU0OTUiLCJ1c2VySWQiOiIzMjg3Njk0NDQifQ==</vt:lpwstr>
  </property>
</Properties>
</file>