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0EE3E">
      <w:pPr>
        <w:pStyle w:val="11"/>
        <w:ind w:firstLine="643" w:firstLineChars="200"/>
      </w:pPr>
      <w:r>
        <w:rPr>
          <w:rFonts w:hint="eastAsia"/>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r>
        <w:rPr>
          <w:rFonts w:hint="eastAsia"/>
        </w:rPr>
        <w:t>y</w:t>
      </w:r>
    </w:p>
    <w:p w14:paraId="6E0055E0">
      <w:pPr>
        <w:widowControl/>
        <w:spacing w:before="1404" w:beforeLines="450" w:after="312" w:afterLines="100"/>
        <w:ind w:firstLine="1044" w:firstLineChars="200"/>
        <w:jc w:val="center"/>
        <w:rPr>
          <w:rFonts w:ascii="黑体" w:hAnsi="黑体" w:eastAsia="黑体" w:cs="宋体"/>
          <w:b/>
          <w:bCs/>
          <w:sz w:val="52"/>
          <w:szCs w:val="36"/>
        </w:rPr>
      </w:pPr>
      <w:r>
        <w:rPr>
          <w:rFonts w:hint="eastAsia" w:ascii="黑体" w:hAnsi="黑体" w:eastAsia="黑体" w:cs="宋体"/>
          <w:b/>
          <w:bCs/>
          <w:sz w:val="52"/>
          <w:szCs w:val="36"/>
        </w:rPr>
        <w:t>XXXX专业</w:t>
      </w:r>
    </w:p>
    <w:p w14:paraId="1D3EA90A">
      <w:pPr>
        <w:widowControl/>
        <w:spacing w:before="156" w:beforeLines="50" w:after="156" w:afterLines="50"/>
        <w:jc w:val="center"/>
        <w:rPr>
          <w:rFonts w:ascii="黑体" w:hAnsi="黑体" w:eastAsia="黑体" w:cs="宋体"/>
          <w:b/>
          <w:bCs/>
          <w:sz w:val="56"/>
          <w:szCs w:val="90"/>
        </w:rPr>
      </w:pPr>
    </w:p>
    <w:p w14:paraId="682D3B25">
      <w:pPr>
        <w:widowControl/>
        <w:spacing w:before="156" w:beforeLines="50" w:after="156" w:afterLines="50"/>
        <w:jc w:val="center"/>
        <w:rPr>
          <w:rFonts w:ascii="黑体" w:hAnsi="黑体" w:eastAsia="黑体" w:cs="宋体"/>
          <w:b/>
          <w:bCs/>
          <w:sz w:val="52"/>
          <w:szCs w:val="36"/>
        </w:rPr>
      </w:pPr>
    </w:p>
    <w:p w14:paraId="417FF43B">
      <w:pPr>
        <w:widowControl/>
        <w:spacing w:before="156" w:beforeLines="50" w:after="156" w:afterLines="50"/>
        <w:ind w:firstLine="1044" w:firstLineChars="200"/>
        <w:jc w:val="center"/>
        <w:rPr>
          <w:rFonts w:hint="eastAsia" w:ascii="黑体" w:hAnsi="黑体" w:eastAsia="黑体" w:cs="宋体"/>
          <w:b/>
          <w:bCs/>
          <w:sz w:val="52"/>
          <w:szCs w:val="36"/>
        </w:rPr>
      </w:pPr>
      <w:r>
        <w:rPr>
          <w:rFonts w:hint="eastAsia" w:ascii="黑体" w:hAnsi="黑体" w:eastAsia="黑体" w:cs="宋体"/>
          <w:b/>
          <w:bCs/>
          <w:sz w:val="52"/>
          <w:szCs w:val="36"/>
        </w:rPr>
        <w:t>婴幼儿托育服务与管理专业</w:t>
      </w:r>
    </w:p>
    <w:p w14:paraId="5CCB3DE9">
      <w:pPr>
        <w:widowControl/>
        <w:spacing w:before="156" w:beforeLines="50" w:after="156" w:afterLines="50"/>
        <w:ind w:firstLine="1044" w:firstLineChars="200"/>
        <w:jc w:val="center"/>
        <w:rPr>
          <w:rFonts w:ascii="黑体" w:hAnsi="黑体" w:eastAsia="黑体" w:cs="宋体"/>
          <w:b/>
          <w:bCs/>
          <w:sz w:val="56"/>
          <w:szCs w:val="90"/>
        </w:rPr>
      </w:pPr>
      <w:r>
        <w:rPr>
          <w:rFonts w:hint="eastAsia" w:ascii="黑体" w:hAnsi="黑体" w:eastAsia="黑体" w:cs="宋体"/>
          <w:b/>
          <w:bCs/>
          <w:sz w:val="52"/>
          <w:szCs w:val="36"/>
        </w:rPr>
        <w:t>（</w:t>
      </w:r>
      <w:r>
        <w:rPr>
          <w:rFonts w:hint="eastAsia" w:ascii="黑体" w:hAnsi="黑体" w:eastAsia="黑体" w:cs="宋体"/>
          <w:b/>
          <w:bCs/>
          <w:sz w:val="52"/>
          <w:szCs w:val="36"/>
          <w:lang w:val="en-US" w:eastAsia="zh-CN"/>
        </w:rPr>
        <w:t>5</w:t>
      </w:r>
      <w:r>
        <w:rPr>
          <w:rFonts w:hint="eastAsia" w:ascii="黑体" w:hAnsi="黑体" w:eastAsia="黑体" w:cs="宋体"/>
          <w:b/>
          <w:bCs/>
          <w:sz w:val="52"/>
          <w:szCs w:val="36"/>
        </w:rPr>
        <w:t>年）</w:t>
      </w:r>
    </w:p>
    <w:p w14:paraId="4482F012">
      <w:pPr>
        <w:widowControl/>
        <w:spacing w:before="156" w:beforeLines="50" w:after="156" w:afterLines="50"/>
        <w:ind w:firstLine="1124" w:firstLineChars="200"/>
        <w:jc w:val="center"/>
        <w:rPr>
          <w:rFonts w:ascii="黑体" w:hAnsi="黑体" w:eastAsia="黑体" w:cs="宋体"/>
          <w:b/>
          <w:bCs/>
          <w:sz w:val="56"/>
          <w:szCs w:val="90"/>
        </w:rPr>
      </w:pPr>
      <w:r>
        <w:rPr>
          <w:rFonts w:hint="eastAsia" w:ascii="黑体" w:hAnsi="黑体" w:eastAsia="黑体" w:cs="宋体"/>
          <w:b/>
          <w:bCs/>
          <w:sz w:val="56"/>
          <w:szCs w:val="90"/>
        </w:rPr>
        <w:t>人才培养方案</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67DF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3A0A5AB7">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5991D85A">
            <w:pPr>
              <w:widowControl/>
              <w:jc w:val="center"/>
              <w:rPr>
                <w:rFonts w:ascii="宋体" w:hAnsi="宋体" w:cs="宋体"/>
                <w:b/>
                <w:bCs/>
                <w:sz w:val="24"/>
                <w:szCs w:val="24"/>
              </w:rPr>
            </w:pPr>
            <w:r>
              <w:rPr>
                <w:rFonts w:hint="eastAsia" w:ascii="宋体" w:hAnsi="宋体" w:cs="宋体"/>
                <w:b/>
                <w:bCs/>
                <w:sz w:val="24"/>
                <w:szCs w:val="24"/>
              </w:rPr>
              <w:t>教育科学学院</w:t>
            </w:r>
          </w:p>
        </w:tc>
      </w:tr>
      <w:tr w14:paraId="1318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03DDBC94">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0199ED2F">
            <w:pPr>
              <w:widowControl/>
              <w:jc w:val="center"/>
              <w:rPr>
                <w:rFonts w:ascii="宋体" w:hAnsi="宋体" w:cs="宋体"/>
                <w:b/>
                <w:bCs/>
                <w:sz w:val="24"/>
                <w:szCs w:val="24"/>
              </w:rPr>
            </w:pPr>
            <w:r>
              <w:rPr>
                <w:rFonts w:hint="eastAsia" w:ascii="宋体" w:hAnsi="宋体" w:eastAsia="宋体" w:cs="宋体"/>
                <w:b/>
                <w:bCs/>
                <w:sz w:val="24"/>
                <w:szCs w:val="24"/>
              </w:rPr>
              <w:t>张广霞</w:t>
            </w:r>
          </w:p>
        </w:tc>
      </w:tr>
      <w:tr w14:paraId="3C99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5951A017">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7769CB66">
            <w:pPr>
              <w:widowControl/>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1EF13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727EC082">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5418665F">
            <w:pPr>
              <w:widowControl/>
              <w:jc w:val="center"/>
              <w:rPr>
                <w:rFonts w:ascii="宋体" w:hAnsi="宋体" w:cs="宋体"/>
                <w:b/>
                <w:bCs/>
                <w:sz w:val="24"/>
                <w:szCs w:val="24"/>
              </w:rPr>
            </w:pPr>
            <w:r>
              <w:rPr>
                <w:rFonts w:hint="eastAsia" w:ascii="宋体" w:hAnsi="宋体" w:cs="宋体"/>
                <w:b/>
                <w:bCs/>
                <w:sz w:val="24"/>
                <w:szCs w:val="24"/>
              </w:rPr>
              <w:t>2025年6月</w:t>
            </w:r>
          </w:p>
        </w:tc>
      </w:tr>
    </w:tbl>
    <w:p w14:paraId="49DB717C">
      <w:pPr>
        <w:widowControl/>
        <w:spacing w:before="156" w:beforeLines="50"/>
        <w:ind w:firstLine="562" w:firstLineChars="200"/>
        <w:jc w:val="center"/>
        <w:rPr>
          <w:rFonts w:ascii="宋体" w:hAnsi="宋体" w:cs="宋体"/>
          <w:b/>
          <w:bCs/>
          <w:sz w:val="28"/>
          <w:szCs w:val="36"/>
        </w:rPr>
      </w:pPr>
      <w:r>
        <w:rPr>
          <w:rFonts w:hint="eastAsia" w:ascii="宋体" w:hAnsi="宋体" w:cs="宋体"/>
          <w:b/>
          <w:bCs/>
          <w:sz w:val="28"/>
          <w:szCs w:val="36"/>
        </w:rPr>
        <w:t>合肥滨湖职业技术学院教务处制</w:t>
      </w:r>
    </w:p>
    <w:p w14:paraId="0316919D">
      <w:pPr>
        <w:ind w:firstLine="562" w:firstLineChars="200"/>
        <w:jc w:val="center"/>
        <w:rPr>
          <w:rFonts w:ascii="宋体" w:hAnsi="宋体" w:cs="宋体"/>
          <w:b/>
          <w:bCs/>
          <w:sz w:val="28"/>
          <w:szCs w:val="36"/>
        </w:rPr>
      </w:pPr>
      <w:r>
        <w:rPr>
          <w:rFonts w:hint="eastAsia" w:ascii="宋体" w:hAnsi="宋体" w:cs="宋体"/>
          <w:b/>
          <w:bCs/>
          <w:sz w:val="28"/>
          <w:szCs w:val="36"/>
        </w:rPr>
        <w:t>二〇二五年六月</w:t>
      </w:r>
    </w:p>
    <w:p w14:paraId="76BB99B6">
      <w:pPr>
        <w:rPr>
          <w:rFonts w:hint="eastAsia" w:ascii="宋体" w:hAnsi="宋体" w:eastAsia="宋体" w:cs="宋体"/>
          <w:sz w:val="44"/>
          <w:szCs w:val="44"/>
        </w:rPr>
      </w:pPr>
      <w:bookmarkStart w:id="0" w:name="_Toc4969"/>
      <w:r>
        <w:rPr>
          <w:rFonts w:hint="eastAsia" w:ascii="宋体" w:hAnsi="宋体" w:eastAsia="宋体" w:cs="宋体"/>
          <w:sz w:val="44"/>
          <w:szCs w:val="44"/>
        </w:rPr>
        <w:br w:type="page"/>
      </w:r>
    </w:p>
    <w:p w14:paraId="06774245">
      <w:pPr>
        <w:overflowPunct w:val="0"/>
        <w:adjustRightInd w:val="0"/>
        <w:snapToGrid w:val="0"/>
        <w:spacing w:after="312" w:afterLines="100"/>
        <w:jc w:val="both"/>
        <w:outlineLvl w:val="0"/>
        <w:rPr>
          <w:rFonts w:hint="eastAsia" w:ascii="宋体" w:hAnsi="宋体" w:eastAsia="宋体" w:cs="宋体"/>
          <w:sz w:val="44"/>
          <w:szCs w:val="44"/>
        </w:rPr>
      </w:pPr>
    </w:p>
    <w:p w14:paraId="0E06DBD4">
      <w:pPr>
        <w:overflowPunct w:val="0"/>
        <w:adjustRightInd w:val="0"/>
        <w:snapToGrid w:val="0"/>
        <w:spacing w:after="312" w:afterLines="100"/>
        <w:ind w:firstLine="880" w:firstLineChars="200"/>
        <w:jc w:val="center"/>
        <w:outlineLvl w:val="0"/>
        <w:rPr>
          <w:rFonts w:eastAsia="方正公文小标宋"/>
          <w:sz w:val="36"/>
          <w:szCs w:val="36"/>
        </w:rPr>
      </w:pPr>
      <w:r>
        <w:rPr>
          <w:rFonts w:hint="eastAsia" w:ascii="方正公文小标宋" w:hAnsi="方正公文小标宋" w:eastAsia="方正公文小标宋" w:cs="方正公文小标宋"/>
          <w:sz w:val="44"/>
          <w:szCs w:val="44"/>
        </w:rPr>
        <w:t>婴幼儿托幼服务与管理专业人才培养方案</w:t>
      </w:r>
      <w:bookmarkEnd w:id="0"/>
    </w:p>
    <w:p w14:paraId="2DA18AFB">
      <w:pPr>
        <w:overflowPunct w:val="0"/>
        <w:adjustRightInd w:val="0"/>
        <w:ind w:firstLine="640" w:firstLineChars="200"/>
        <w:rPr>
          <w:rFonts w:eastAsia="黑体"/>
          <w:szCs w:val="32"/>
        </w:rPr>
      </w:pPr>
      <w:r>
        <w:rPr>
          <w:rFonts w:hint="eastAsia" w:eastAsia="黑体"/>
          <w:szCs w:val="32"/>
        </w:rPr>
        <w:t>一、专业名称及代码</w:t>
      </w:r>
    </w:p>
    <w:p w14:paraId="0F833CA9">
      <w:pPr>
        <w:overflowPunct w:val="0"/>
        <w:adjustRightInd w:val="0"/>
        <w:spacing w:line="360" w:lineRule="auto"/>
        <w:ind w:firstLine="640" w:firstLineChars="200"/>
        <w:rPr>
          <w:rFonts w:ascii="仿宋_GB2312"/>
          <w:szCs w:val="32"/>
        </w:rPr>
      </w:pPr>
      <w:r>
        <w:rPr>
          <w:rFonts w:hint="eastAsia" w:ascii="仿宋_GB2312"/>
          <w:szCs w:val="32"/>
        </w:rPr>
        <w:t>专业名称：</w:t>
      </w:r>
      <w:r>
        <w:rPr>
          <w:rFonts w:hint="eastAsia" w:ascii="宋体" w:hAnsi="宋体" w:eastAsia="宋体" w:cs="宋体"/>
          <w:sz w:val="28"/>
          <w:szCs w:val="28"/>
        </w:rPr>
        <w:t>婴幼儿托育服务与管理</w:t>
      </w:r>
    </w:p>
    <w:p w14:paraId="2535408B">
      <w:pPr>
        <w:overflowPunct w:val="0"/>
        <w:adjustRightInd w:val="0"/>
        <w:ind w:firstLine="640" w:firstLineChars="200"/>
        <w:rPr>
          <w:rFonts w:ascii="仿宋_GB2312"/>
          <w:szCs w:val="32"/>
        </w:rPr>
      </w:pPr>
      <w:r>
        <w:rPr>
          <w:rFonts w:hint="eastAsia" w:ascii="仿宋_GB2312"/>
          <w:szCs w:val="32"/>
        </w:rPr>
        <w:t>专业代码：5220802</w:t>
      </w:r>
    </w:p>
    <w:p w14:paraId="3725C03D">
      <w:pPr>
        <w:overflowPunct w:val="0"/>
        <w:adjustRightInd w:val="0"/>
        <w:ind w:firstLine="640" w:firstLineChars="200"/>
        <w:rPr>
          <w:rFonts w:eastAsia="黑体"/>
          <w:szCs w:val="32"/>
        </w:rPr>
      </w:pPr>
      <w:r>
        <w:rPr>
          <w:rFonts w:hint="eastAsia" w:eastAsia="黑体"/>
          <w:szCs w:val="32"/>
        </w:rPr>
        <w:t>二、入学要求</w:t>
      </w:r>
    </w:p>
    <w:p w14:paraId="31C67235">
      <w:pPr>
        <w:overflowPunct w:val="0"/>
        <w:adjustRightInd w:val="0"/>
        <w:ind w:firstLine="640" w:firstLineChars="200"/>
        <w:rPr>
          <w:rFonts w:ascii="仿宋_GB2312"/>
          <w:szCs w:val="32"/>
        </w:rPr>
      </w:pPr>
      <w:r>
        <w:rPr>
          <w:rFonts w:hint="eastAsia" w:ascii="仿宋_GB2312"/>
          <w:szCs w:val="32"/>
        </w:rPr>
        <w:t>初级中等学校毕业或具备同等学力</w:t>
      </w:r>
    </w:p>
    <w:p w14:paraId="185FAED7">
      <w:pPr>
        <w:overflowPunct w:val="0"/>
        <w:adjustRightInd w:val="0"/>
        <w:ind w:firstLine="640" w:firstLineChars="200"/>
        <w:rPr>
          <w:rFonts w:eastAsia="黑体"/>
          <w:szCs w:val="32"/>
        </w:rPr>
      </w:pPr>
      <w:r>
        <w:rPr>
          <w:rFonts w:hint="eastAsia" w:eastAsia="黑体"/>
          <w:szCs w:val="32"/>
        </w:rPr>
        <w:t>三、修业年限</w:t>
      </w:r>
    </w:p>
    <w:p w14:paraId="62ED6407">
      <w:pPr>
        <w:overflowPunct w:val="0"/>
        <w:adjustRightInd w:val="0"/>
        <w:ind w:firstLine="640" w:firstLineChars="200"/>
        <w:rPr>
          <w:rFonts w:ascii="仿宋_GB2312"/>
          <w:szCs w:val="32"/>
        </w:rPr>
      </w:pPr>
      <w:r>
        <w:rPr>
          <w:rFonts w:hint="eastAsia" w:ascii="仿宋_GB2312"/>
          <w:szCs w:val="32"/>
        </w:rPr>
        <w:t>五年</w:t>
      </w:r>
    </w:p>
    <w:p w14:paraId="0A324881">
      <w:pPr>
        <w:overflowPunct w:val="0"/>
        <w:adjustRightInd w:val="0"/>
        <w:ind w:firstLine="640" w:firstLineChars="200"/>
        <w:rPr>
          <w:rFonts w:eastAsia="黑体"/>
          <w:szCs w:val="32"/>
        </w:rPr>
      </w:pPr>
      <w:r>
        <w:rPr>
          <w:rFonts w:hint="eastAsia" w:eastAsia="黑体"/>
          <w:szCs w:val="32"/>
        </w:rPr>
        <w:t>四、职业面向</w:t>
      </w:r>
    </w:p>
    <w:p w14:paraId="0CD62C15">
      <w:pPr>
        <w:spacing w:line="360" w:lineRule="auto"/>
        <w:ind w:firstLine="643" w:firstLineChars="200"/>
        <w:rPr>
          <w:rFonts w:ascii="楷体_GB2312" w:hAnsi="楷体_GB2312" w:eastAsia="楷体_GB2312" w:cs="楷体_GB2312"/>
          <w:b/>
          <w:bCs/>
        </w:rPr>
      </w:pPr>
      <w:r>
        <w:rPr>
          <w:rFonts w:hint="eastAsia" w:ascii="楷体_GB2312" w:hAnsi="楷体_GB2312" w:eastAsia="楷体_GB2312" w:cs="楷体_GB2312"/>
          <w:b/>
          <w:bCs/>
        </w:rPr>
        <w:t>（一）职业面向</w:t>
      </w:r>
    </w:p>
    <w:p w14:paraId="2A069DC8">
      <w:pPr>
        <w:spacing w:line="400" w:lineRule="exact"/>
        <w:ind w:firstLine="643" w:firstLineChars="200"/>
        <w:jc w:val="center"/>
        <w:rPr>
          <w:rFonts w:ascii="仿宋" w:hAnsi="仿宋" w:eastAsia="仿宋" w:cs="仿宋"/>
          <w:b/>
          <w:szCs w:val="21"/>
        </w:rPr>
      </w:pPr>
      <w:r>
        <w:rPr>
          <w:rFonts w:hint="eastAsia" w:ascii="仿宋" w:hAnsi="仿宋" w:eastAsia="仿宋" w:cs="仿宋"/>
          <w:b/>
          <w:szCs w:val="21"/>
        </w:rPr>
        <w:t>表1职业面向</w:t>
      </w:r>
    </w:p>
    <w:tbl>
      <w:tblPr>
        <w:tblStyle w:val="13"/>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841"/>
        <w:gridCol w:w="1977"/>
        <w:gridCol w:w="2243"/>
      </w:tblGrid>
      <w:tr w14:paraId="6CD409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6" w:hRule="exact"/>
        </w:trPr>
        <w:tc>
          <w:tcPr>
            <w:tcW w:w="1073" w:type="dxa"/>
            <w:vAlign w:val="center"/>
          </w:tcPr>
          <w:p w14:paraId="64C3F107">
            <w:pPr>
              <w:ind w:firstLine="482" w:firstLineChars="20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6F22D32D">
            <w:pPr>
              <w:ind w:firstLine="482" w:firstLineChars="20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41F0E86F">
            <w:pPr>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29C7A9AC">
            <w:pPr>
              <w:ind w:firstLine="482" w:firstLineChars="20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415E12AD">
            <w:pPr>
              <w:ind w:firstLine="482" w:firstLineChars="20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841" w:type="dxa"/>
            <w:vAlign w:val="center"/>
          </w:tcPr>
          <w:p w14:paraId="0CF09850">
            <w:pPr>
              <w:ind w:firstLine="482" w:firstLineChars="20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6E65E444">
            <w:pPr>
              <w:ind w:firstLine="482" w:firstLineChars="20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977" w:type="dxa"/>
            <w:vAlign w:val="center"/>
          </w:tcPr>
          <w:p w14:paraId="25164CCE">
            <w:pPr>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061EC6E5">
            <w:pPr>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4D48B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0" w:hRule="exact"/>
        </w:trPr>
        <w:tc>
          <w:tcPr>
            <w:tcW w:w="1073" w:type="dxa"/>
            <w:shd w:val="clear" w:color="auto" w:fill="auto"/>
            <w:vAlign w:val="center"/>
          </w:tcPr>
          <w:p w14:paraId="444E25D5">
            <w:pPr>
              <w:pStyle w:val="21"/>
              <w:spacing w:before="65" w:line="232" w:lineRule="auto"/>
              <w:jc w:val="both"/>
              <w:rPr>
                <w:color w:val="FF0000"/>
                <w:spacing w:val="3"/>
                <w:lang w:eastAsia="zh-CN"/>
              </w:rPr>
            </w:pPr>
            <w:r>
              <w:rPr>
                <w:spacing w:val="-3"/>
              </w:rPr>
              <w:t>医药卫生大类</w:t>
            </w:r>
          </w:p>
          <w:p w14:paraId="2FA0EF02">
            <w:pPr>
              <w:pStyle w:val="21"/>
              <w:spacing w:before="65" w:line="232" w:lineRule="auto"/>
              <w:jc w:val="both"/>
              <w:rPr>
                <w:color w:val="FF0000"/>
                <w:lang w:eastAsia="zh-CN"/>
              </w:rPr>
            </w:pPr>
            <w:r>
              <w:rPr>
                <w:rFonts w:hint="eastAsia"/>
                <w:lang w:eastAsia="zh-CN"/>
              </w:rPr>
              <w:t>（52）</w:t>
            </w:r>
          </w:p>
        </w:tc>
        <w:tc>
          <w:tcPr>
            <w:tcW w:w="1156" w:type="dxa"/>
            <w:shd w:val="clear" w:color="auto" w:fill="auto"/>
            <w:vAlign w:val="center"/>
          </w:tcPr>
          <w:p w14:paraId="11EE248B">
            <w:pPr>
              <w:pStyle w:val="21"/>
              <w:spacing w:before="65" w:line="187" w:lineRule="auto"/>
              <w:ind w:firstLine="388" w:firstLineChars="200"/>
              <w:jc w:val="both"/>
              <w:rPr>
                <w:spacing w:val="-3"/>
                <w:lang w:eastAsia="zh-CN"/>
              </w:rPr>
            </w:pPr>
            <w:r>
              <w:rPr>
                <w:spacing w:val="-3"/>
                <w:lang w:eastAsia="zh-CN"/>
              </w:rPr>
              <w:t>健康管理与促进类</w:t>
            </w:r>
          </w:p>
          <w:p w14:paraId="6C45A3AC">
            <w:pPr>
              <w:pStyle w:val="21"/>
              <w:spacing w:before="65" w:line="187" w:lineRule="auto"/>
              <w:jc w:val="both"/>
              <w:rPr>
                <w:spacing w:val="-3"/>
                <w:lang w:eastAsia="zh-CN"/>
              </w:rPr>
            </w:pPr>
            <w:r>
              <w:rPr>
                <w:rFonts w:hint="eastAsia"/>
                <w:spacing w:val="-3"/>
                <w:lang w:eastAsia="zh-CN"/>
              </w:rPr>
              <w:t>（5208）</w:t>
            </w:r>
          </w:p>
        </w:tc>
        <w:tc>
          <w:tcPr>
            <w:tcW w:w="1413" w:type="dxa"/>
            <w:shd w:val="clear" w:color="auto" w:fill="auto"/>
            <w:vAlign w:val="center"/>
          </w:tcPr>
          <w:p w14:paraId="4577BCE0">
            <w:pPr>
              <w:widowControl/>
              <w:jc w:val="left"/>
              <w:rPr>
                <w:rStyle w:val="16"/>
                <w:rFonts w:ascii="仿宋" w:hAnsi="仿宋" w:eastAsia="仿宋" w:cs="仿宋"/>
                <w:b w:val="0"/>
                <w:color w:val="404040"/>
                <w:kern w:val="0"/>
                <w:sz w:val="20"/>
                <w:szCs w:val="20"/>
                <w:lang w:bidi="ar"/>
              </w:rPr>
            </w:pPr>
          </w:p>
          <w:p w14:paraId="1093611A">
            <w:pPr>
              <w:widowControl/>
              <w:jc w:val="left"/>
              <w:rPr>
                <w:rStyle w:val="16"/>
                <w:rFonts w:ascii="仿宋" w:hAnsi="仿宋" w:eastAsia="仿宋" w:cs="仿宋"/>
                <w:b w:val="0"/>
                <w:color w:val="404040"/>
                <w:kern w:val="0"/>
                <w:sz w:val="20"/>
                <w:szCs w:val="20"/>
                <w:lang w:bidi="ar"/>
              </w:rPr>
            </w:pPr>
          </w:p>
          <w:p w14:paraId="10264AB6">
            <w:pPr>
              <w:widowControl/>
              <w:jc w:val="left"/>
              <w:rPr>
                <w:rFonts w:ascii="仿宋" w:hAnsi="仿宋" w:eastAsia="仿宋" w:cs="仿宋"/>
                <w:sz w:val="20"/>
                <w:szCs w:val="20"/>
              </w:rPr>
            </w:pPr>
            <w:r>
              <w:rPr>
                <w:rStyle w:val="16"/>
                <w:rFonts w:hint="eastAsia" w:ascii="仿宋" w:hAnsi="仿宋" w:eastAsia="仿宋" w:cs="仿宋"/>
                <w:b w:val="0"/>
                <w:color w:val="404040"/>
                <w:kern w:val="0"/>
                <w:sz w:val="20"/>
                <w:szCs w:val="20"/>
                <w:lang w:bidi="ar"/>
              </w:rPr>
              <w:t>居民服务与其他（82）</w:t>
            </w:r>
          </w:p>
          <w:p w14:paraId="4DCCE7AF">
            <w:pPr>
              <w:widowControl/>
              <w:jc w:val="left"/>
            </w:pPr>
          </w:p>
          <w:p w14:paraId="49D5C3D9">
            <w:pPr>
              <w:pStyle w:val="21"/>
              <w:spacing w:before="65"/>
              <w:jc w:val="center"/>
              <w:rPr>
                <w:color w:val="FF0000"/>
              </w:rPr>
            </w:pPr>
          </w:p>
        </w:tc>
        <w:tc>
          <w:tcPr>
            <w:tcW w:w="1841" w:type="dxa"/>
            <w:shd w:val="clear" w:color="auto" w:fill="auto"/>
            <w:vAlign w:val="center"/>
          </w:tcPr>
          <w:p w14:paraId="6BECF7CD">
            <w:pPr>
              <w:pStyle w:val="21"/>
              <w:spacing w:before="65" w:line="231" w:lineRule="auto"/>
              <w:rPr>
                <w:lang w:eastAsia="zh-CN"/>
              </w:rPr>
            </w:pPr>
            <w:r>
              <w:rPr>
                <w:rStyle w:val="16"/>
                <w:rFonts w:hint="eastAsia"/>
                <w:b w:val="0"/>
                <w:kern w:val="0"/>
                <w:lang w:eastAsia="zh-CN" w:bidi="ar"/>
              </w:rPr>
              <w:t>婴幼儿发展引导员</w:t>
            </w:r>
            <w:r>
              <w:rPr>
                <w:rFonts w:hint="eastAsia"/>
                <w:spacing w:val="-4"/>
                <w:lang w:eastAsia="zh-CN"/>
              </w:rPr>
              <w:t>（</w:t>
            </w:r>
            <w:r>
              <w:rPr>
                <w:rFonts w:hint="eastAsia"/>
                <w:spacing w:val="7"/>
                <w:lang w:eastAsia="zh-CN"/>
              </w:rPr>
              <w:t>4-10-01-01</w:t>
            </w:r>
            <w:r>
              <w:rPr>
                <w:rFonts w:hint="eastAsia"/>
                <w:spacing w:val="-4"/>
                <w:lang w:eastAsia="zh-CN"/>
              </w:rPr>
              <w:t>）</w:t>
            </w:r>
          </w:p>
          <w:p w14:paraId="3E09817D">
            <w:pPr>
              <w:pStyle w:val="21"/>
              <w:spacing w:before="65" w:line="231" w:lineRule="auto"/>
              <w:rPr>
                <w:spacing w:val="-4"/>
                <w:lang w:eastAsia="zh-CN"/>
              </w:rPr>
            </w:pPr>
            <w:r>
              <w:rPr>
                <w:rFonts w:hint="eastAsia"/>
                <w:spacing w:val="-4"/>
                <w:lang w:eastAsia="zh-CN"/>
              </w:rPr>
              <w:t>保育师</w:t>
            </w:r>
          </w:p>
          <w:p w14:paraId="42F442BE">
            <w:pPr>
              <w:pStyle w:val="21"/>
              <w:spacing w:before="65" w:line="231" w:lineRule="auto"/>
              <w:rPr>
                <w:spacing w:val="-4"/>
                <w:lang w:eastAsia="zh-CN"/>
              </w:rPr>
            </w:pPr>
            <w:r>
              <w:rPr>
                <w:rFonts w:hint="eastAsia"/>
                <w:spacing w:val="-4"/>
                <w:lang w:eastAsia="zh-CN"/>
              </w:rPr>
              <w:t>（</w:t>
            </w:r>
            <w:r>
              <w:rPr>
                <w:rFonts w:hint="eastAsia"/>
                <w:spacing w:val="7"/>
                <w:lang w:eastAsia="zh-CN"/>
              </w:rPr>
              <w:t>4-10-01-03</w:t>
            </w:r>
            <w:r>
              <w:rPr>
                <w:rFonts w:hint="eastAsia"/>
                <w:spacing w:val="-4"/>
                <w:lang w:eastAsia="zh-CN"/>
              </w:rPr>
              <w:t>）</w:t>
            </w:r>
          </w:p>
        </w:tc>
        <w:tc>
          <w:tcPr>
            <w:tcW w:w="1977" w:type="dxa"/>
            <w:shd w:val="clear" w:color="auto" w:fill="auto"/>
            <w:vAlign w:val="center"/>
          </w:tcPr>
          <w:p w14:paraId="2D2D6582">
            <w:pPr>
              <w:widowControl/>
              <w:jc w:val="left"/>
              <w:rPr>
                <w:rFonts w:ascii="仿宋" w:hAnsi="仿宋" w:eastAsia="仿宋" w:cs="仿宋"/>
                <w:color w:val="404040"/>
                <w:kern w:val="0"/>
                <w:sz w:val="20"/>
                <w:szCs w:val="20"/>
                <w:shd w:val="clear" w:color="auto" w:fill="FFFFFF"/>
                <w:lang w:bidi="ar"/>
              </w:rPr>
            </w:pPr>
          </w:p>
          <w:p w14:paraId="6935786E">
            <w:pPr>
              <w:widowControl/>
              <w:jc w:val="left"/>
              <w:rPr>
                <w:rFonts w:ascii="仿宋" w:hAnsi="仿宋" w:eastAsia="仿宋" w:cs="仿宋"/>
                <w:color w:val="404040"/>
                <w:kern w:val="0"/>
                <w:sz w:val="20"/>
                <w:szCs w:val="20"/>
                <w:shd w:val="clear" w:color="auto" w:fill="FFFFFF"/>
                <w:lang w:bidi="ar"/>
              </w:rPr>
            </w:pPr>
          </w:p>
          <w:p w14:paraId="706D8575">
            <w:pPr>
              <w:widowControl/>
              <w:jc w:val="left"/>
              <w:rPr>
                <w:rFonts w:ascii="仿宋" w:hAnsi="仿宋" w:eastAsia="仿宋" w:cs="仿宋"/>
                <w:color w:val="404040"/>
                <w:kern w:val="0"/>
                <w:sz w:val="20"/>
                <w:szCs w:val="20"/>
                <w:shd w:val="clear" w:color="auto" w:fill="FFFFFF"/>
                <w:lang w:bidi="ar"/>
              </w:rPr>
            </w:pPr>
          </w:p>
          <w:p w14:paraId="539C66F4">
            <w:pPr>
              <w:widowControl/>
              <w:jc w:val="left"/>
              <w:rPr>
                <w:rFonts w:ascii="仿宋_GB2312" w:hAnsi="仿宋_GB2312" w:cs="仿宋_GB2312"/>
                <w:sz w:val="20"/>
                <w:szCs w:val="20"/>
              </w:rPr>
            </w:pPr>
            <w:r>
              <w:rPr>
                <w:rFonts w:hint="eastAsia" w:ascii="仿宋_GB2312" w:hAnsi="仿宋_GB2312" w:cs="仿宋_GB2312"/>
                <w:color w:val="404040"/>
                <w:kern w:val="0"/>
                <w:sz w:val="20"/>
                <w:szCs w:val="20"/>
                <w:shd w:val="clear" w:color="auto" w:fill="FFFFFF"/>
                <w:lang w:bidi="ar"/>
              </w:rPr>
              <w:t>婴幼儿照护指导岗</w:t>
            </w:r>
          </w:p>
          <w:p w14:paraId="439D6BD1">
            <w:pPr>
              <w:widowControl/>
              <w:jc w:val="left"/>
              <w:rPr>
                <w:rFonts w:ascii="仿宋" w:hAnsi="仿宋" w:eastAsia="仿宋" w:cs="仿宋"/>
                <w:color w:val="404040"/>
                <w:kern w:val="0"/>
                <w:sz w:val="20"/>
                <w:szCs w:val="20"/>
                <w:shd w:val="clear" w:color="auto" w:fill="FFFFFF"/>
                <w:lang w:bidi="ar"/>
              </w:rPr>
            </w:pPr>
            <w:r>
              <w:rPr>
                <w:rFonts w:hint="eastAsia" w:ascii="仿宋" w:hAnsi="仿宋" w:eastAsia="仿宋" w:cs="仿宋"/>
                <w:color w:val="404040"/>
                <w:kern w:val="0"/>
                <w:sz w:val="20"/>
                <w:szCs w:val="20"/>
                <w:shd w:val="clear" w:color="auto" w:fill="FFFFFF"/>
                <w:lang w:bidi="ar"/>
              </w:rPr>
              <w:t>生活照料岗</w:t>
            </w:r>
          </w:p>
          <w:p w14:paraId="2C74D991">
            <w:pPr>
              <w:widowControl/>
              <w:ind w:firstLine="400" w:firstLineChars="200"/>
              <w:jc w:val="left"/>
            </w:pPr>
            <w:r>
              <w:rPr>
                <w:rFonts w:hint="eastAsia" w:ascii="仿宋" w:hAnsi="仿宋" w:eastAsia="仿宋" w:cs="仿宋"/>
                <w:color w:val="404040"/>
                <w:kern w:val="0"/>
                <w:sz w:val="20"/>
                <w:szCs w:val="20"/>
                <w:lang w:bidi="ar"/>
              </w:rPr>
              <w:br w:type="textWrapping"/>
            </w:r>
          </w:p>
          <w:p w14:paraId="459C7925">
            <w:pPr>
              <w:pStyle w:val="21"/>
              <w:spacing w:before="210" w:line="229" w:lineRule="auto"/>
              <w:jc w:val="center"/>
              <w:rPr>
                <w:color w:val="FF0000"/>
                <w:spacing w:val="7"/>
                <w:lang w:eastAsia="zh-CN"/>
              </w:rPr>
            </w:pPr>
          </w:p>
        </w:tc>
        <w:tc>
          <w:tcPr>
            <w:tcW w:w="2243" w:type="dxa"/>
            <w:shd w:val="clear" w:color="auto" w:fill="auto"/>
            <w:vAlign w:val="center"/>
          </w:tcPr>
          <w:p w14:paraId="35C52FE6">
            <w:pPr>
              <w:widowControl/>
              <w:ind w:firstLine="400" w:firstLineChars="200"/>
              <w:jc w:val="left"/>
              <w:rPr>
                <w:rFonts w:ascii="仿宋" w:hAnsi="仿宋" w:eastAsia="仿宋" w:cs="仿宋"/>
                <w:color w:val="404040"/>
                <w:kern w:val="0"/>
                <w:sz w:val="20"/>
                <w:szCs w:val="20"/>
                <w:shd w:val="clear" w:color="auto" w:fill="FFFFFF"/>
                <w:lang w:bidi="ar"/>
              </w:rPr>
            </w:pPr>
            <w:r>
              <w:rPr>
                <w:rFonts w:hint="eastAsia" w:ascii="仿宋" w:hAnsi="仿宋" w:eastAsia="仿宋" w:cs="仿宋"/>
                <w:color w:val="404040"/>
                <w:kern w:val="0"/>
                <w:sz w:val="20"/>
                <w:szCs w:val="20"/>
                <w:lang w:bidi="ar"/>
              </w:rPr>
              <w:br w:type="textWrapping"/>
            </w:r>
            <w:r>
              <w:rPr>
                <w:rFonts w:hint="eastAsia" w:ascii="仿宋" w:hAnsi="仿宋" w:eastAsia="仿宋" w:cs="仿宋"/>
                <w:color w:val="404040"/>
                <w:kern w:val="0"/>
                <w:sz w:val="20"/>
                <w:szCs w:val="20"/>
                <w:shd w:val="clear" w:color="auto" w:fill="FFFFFF"/>
                <w:lang w:bidi="ar"/>
              </w:rPr>
              <w:t>保育师（中级）</w:t>
            </w:r>
            <w:r>
              <w:rPr>
                <w:rFonts w:hint="eastAsia" w:ascii="仿宋" w:hAnsi="仿宋" w:eastAsia="仿宋" w:cs="仿宋"/>
                <w:color w:val="404040"/>
                <w:kern w:val="0"/>
                <w:sz w:val="20"/>
                <w:szCs w:val="20"/>
                <w:lang w:bidi="ar"/>
              </w:rPr>
              <w:br w:type="textWrapping"/>
            </w:r>
            <w:r>
              <w:rPr>
                <w:rFonts w:hint="eastAsia" w:ascii="仿宋" w:hAnsi="仿宋" w:eastAsia="仿宋" w:cs="仿宋"/>
                <w:color w:val="404040"/>
                <w:kern w:val="0"/>
                <w:sz w:val="20"/>
                <w:szCs w:val="20"/>
                <w:shd w:val="clear" w:color="auto" w:fill="FFFFFF"/>
                <w:lang w:bidi="ar"/>
              </w:rPr>
              <w:t>1+X幼儿照护（中级）</w:t>
            </w:r>
          </w:p>
          <w:p w14:paraId="58BC119C">
            <w:pPr>
              <w:widowControl/>
              <w:jc w:val="left"/>
              <w:rPr>
                <w:rFonts w:ascii="仿宋" w:hAnsi="仿宋" w:eastAsia="仿宋" w:cs="仿宋"/>
                <w:sz w:val="20"/>
                <w:szCs w:val="20"/>
              </w:rPr>
            </w:pPr>
            <w:r>
              <w:rPr>
                <w:rFonts w:hint="eastAsia" w:ascii="仿宋" w:hAnsi="仿宋" w:eastAsia="仿宋" w:cs="仿宋"/>
                <w:color w:val="404040"/>
                <w:kern w:val="0"/>
                <w:sz w:val="20"/>
                <w:szCs w:val="20"/>
                <w:lang w:bidi="ar"/>
              </w:rPr>
              <w:t>育婴师（中级）</w:t>
            </w:r>
            <w:r>
              <w:rPr>
                <w:rFonts w:hint="eastAsia" w:ascii="仿宋" w:hAnsi="仿宋" w:eastAsia="仿宋" w:cs="仿宋"/>
                <w:color w:val="404040"/>
                <w:kern w:val="0"/>
                <w:sz w:val="20"/>
                <w:szCs w:val="20"/>
                <w:lang w:bidi="ar"/>
              </w:rPr>
              <w:br w:type="textWrapping"/>
            </w:r>
          </w:p>
          <w:p w14:paraId="502F4D38">
            <w:pPr>
              <w:pStyle w:val="21"/>
              <w:spacing w:before="65" w:line="360" w:lineRule="exact"/>
              <w:rPr>
                <w:color w:val="FF0000"/>
                <w:lang w:eastAsia="zh-CN"/>
              </w:rPr>
            </w:pPr>
          </w:p>
        </w:tc>
      </w:tr>
    </w:tbl>
    <w:p w14:paraId="5AF0EED7">
      <w:pPr>
        <w:spacing w:line="400" w:lineRule="exact"/>
        <w:rPr>
          <w:rFonts w:ascii="仿宋" w:hAnsi="仿宋" w:eastAsia="仿宋" w:cs="仿宋"/>
          <w:b/>
          <w:szCs w:val="21"/>
        </w:rPr>
      </w:pPr>
    </w:p>
    <w:p w14:paraId="56A93905">
      <w:pPr>
        <w:ind w:firstLine="643" w:firstLineChars="200"/>
        <w:rPr>
          <w:rFonts w:ascii="仿宋" w:hAnsi="仿宋" w:eastAsia="仿宋" w:cs="仿宋"/>
          <w:b/>
          <w:szCs w:val="21"/>
        </w:rPr>
      </w:pPr>
      <w:r>
        <w:rPr>
          <w:rFonts w:ascii="仿宋" w:hAnsi="仿宋" w:eastAsia="仿宋" w:cs="仿宋"/>
          <w:b/>
          <w:szCs w:val="21"/>
        </w:rPr>
        <w:br w:type="page"/>
      </w:r>
    </w:p>
    <w:p w14:paraId="3B5D9990">
      <w:pPr>
        <w:spacing w:line="400" w:lineRule="exact"/>
        <w:ind w:firstLine="643" w:firstLineChars="200"/>
        <w:jc w:val="center"/>
        <w:rPr>
          <w:rFonts w:ascii="仿宋" w:hAnsi="仿宋" w:eastAsia="仿宋" w:cs="仿宋"/>
          <w:b/>
          <w:szCs w:val="21"/>
        </w:rPr>
      </w:pPr>
      <w:r>
        <w:rPr>
          <w:rFonts w:ascii="仿宋" w:hAnsi="仿宋" w:eastAsia="仿宋" w:cs="仿宋"/>
          <w:b/>
          <w:szCs w:val="21"/>
        </w:rPr>
        <w:t>表</w:t>
      </w:r>
      <w:r>
        <w:rPr>
          <w:rFonts w:hint="eastAsia" w:ascii="仿宋" w:hAnsi="仿宋" w:eastAsia="仿宋" w:cs="仿宋"/>
          <w:b/>
          <w:szCs w:val="21"/>
        </w:rPr>
        <w:t>2</w:t>
      </w:r>
      <w:r>
        <w:rPr>
          <w:rFonts w:ascii="仿宋" w:hAnsi="仿宋" w:eastAsia="仿宋" w:cs="仿宋"/>
          <w:b/>
          <w:szCs w:val="21"/>
        </w:rPr>
        <w:t>岗位能力分析表</w:t>
      </w:r>
    </w:p>
    <w:tbl>
      <w:tblPr>
        <w:tblStyle w:val="13"/>
        <w:tblpPr w:leftFromText="180" w:rightFromText="180" w:vertAnchor="text" w:horzAnchor="page" w:tblpX="1795" w:tblpY="38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50B3B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vAlign w:val="center"/>
          </w:tcPr>
          <w:p w14:paraId="5477E1C0">
            <w:pPr>
              <w:jc w:val="center"/>
              <w:rPr>
                <w:rFonts w:ascii="仿宋" w:hAnsi="仿宋" w:eastAsia="仿宋" w:cs="仿宋"/>
                <w:b/>
                <w:kern w:val="0"/>
                <w:sz w:val="24"/>
                <w:szCs w:val="18"/>
              </w:rPr>
            </w:pPr>
            <w:bookmarkStart w:id="1" w:name="_Hlk169661694"/>
            <w:r>
              <w:rPr>
                <w:rFonts w:ascii="仿宋" w:hAnsi="仿宋" w:eastAsia="仿宋" w:cs="仿宋"/>
                <w:b/>
                <w:kern w:val="0"/>
                <w:sz w:val="24"/>
                <w:szCs w:val="18"/>
              </w:rPr>
              <w:t>岗位名称</w:t>
            </w:r>
          </w:p>
        </w:tc>
        <w:tc>
          <w:tcPr>
            <w:tcW w:w="1720" w:type="dxa"/>
            <w:vAlign w:val="center"/>
          </w:tcPr>
          <w:p w14:paraId="2C1D7EF8">
            <w:pPr>
              <w:jc w:val="center"/>
              <w:rPr>
                <w:rFonts w:ascii="仿宋" w:hAnsi="仿宋" w:eastAsia="仿宋" w:cs="仿宋"/>
                <w:b/>
                <w:kern w:val="0"/>
                <w:sz w:val="24"/>
                <w:szCs w:val="18"/>
              </w:rPr>
            </w:pPr>
            <w:r>
              <w:rPr>
                <w:rFonts w:hint="eastAsia" w:ascii="仿宋" w:hAnsi="仿宋" w:eastAsia="仿宋" w:cs="仿宋"/>
                <w:b/>
                <w:kern w:val="0"/>
                <w:sz w:val="24"/>
                <w:szCs w:val="18"/>
              </w:rPr>
              <w:t>典型工作任务</w:t>
            </w:r>
          </w:p>
        </w:tc>
        <w:tc>
          <w:tcPr>
            <w:tcW w:w="2834" w:type="dxa"/>
            <w:shd w:val="clear" w:color="auto" w:fill="auto"/>
            <w:vAlign w:val="center"/>
          </w:tcPr>
          <w:p w14:paraId="6B9FD580">
            <w:pPr>
              <w:jc w:val="center"/>
              <w:rPr>
                <w:rFonts w:ascii="仿宋" w:hAnsi="仿宋" w:eastAsia="仿宋" w:cs="仿宋"/>
                <w:b/>
                <w:kern w:val="0"/>
                <w:sz w:val="24"/>
                <w:szCs w:val="18"/>
              </w:rPr>
            </w:pPr>
            <w:r>
              <w:rPr>
                <w:rFonts w:hint="eastAsia" w:ascii="仿宋" w:hAnsi="仿宋" w:eastAsia="仿宋" w:cs="仿宋"/>
                <w:b/>
                <w:kern w:val="0"/>
                <w:sz w:val="24"/>
                <w:szCs w:val="18"/>
              </w:rPr>
              <w:t>岗位能力要求</w:t>
            </w:r>
          </w:p>
        </w:tc>
        <w:tc>
          <w:tcPr>
            <w:tcW w:w="3080" w:type="dxa"/>
            <w:shd w:val="clear" w:color="auto" w:fill="auto"/>
            <w:vAlign w:val="center"/>
          </w:tcPr>
          <w:p w14:paraId="0E05F575">
            <w:pPr>
              <w:jc w:val="center"/>
              <w:rPr>
                <w:rFonts w:ascii="仿宋" w:hAnsi="仿宋" w:eastAsia="仿宋" w:cs="仿宋"/>
                <w:b/>
                <w:kern w:val="0"/>
                <w:sz w:val="24"/>
                <w:szCs w:val="18"/>
              </w:rPr>
            </w:pPr>
            <w:r>
              <w:rPr>
                <w:rFonts w:hint="eastAsia" w:ascii="仿宋" w:hAnsi="仿宋" w:eastAsia="仿宋" w:cs="仿宋"/>
                <w:b/>
                <w:kern w:val="0"/>
                <w:sz w:val="24"/>
                <w:szCs w:val="18"/>
              </w:rPr>
              <w:t>对应课程</w:t>
            </w:r>
          </w:p>
        </w:tc>
      </w:tr>
      <w:tr w14:paraId="18B3D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7" w:hRule="atLeast"/>
        </w:trPr>
        <w:tc>
          <w:tcPr>
            <w:tcW w:w="1384" w:type="dxa"/>
            <w:vAlign w:val="center"/>
          </w:tcPr>
          <w:p w14:paraId="02C9761F">
            <w:pPr>
              <w:widowControl/>
              <w:jc w:val="both"/>
              <w:rPr>
                <w:rStyle w:val="16"/>
                <w:rFonts w:ascii="仿宋" w:hAnsi="仿宋" w:eastAsia="仿宋" w:cs="仿宋"/>
                <w:b w:val="0"/>
                <w:color w:val="404040"/>
                <w:kern w:val="0"/>
                <w:sz w:val="20"/>
                <w:szCs w:val="20"/>
                <w:lang w:bidi="ar"/>
              </w:rPr>
            </w:pPr>
            <w:r>
              <w:rPr>
                <w:rStyle w:val="16"/>
                <w:rFonts w:hint="eastAsia" w:ascii="仿宋" w:hAnsi="仿宋" w:eastAsia="仿宋" w:cs="仿宋"/>
                <w:b w:val="0"/>
                <w:color w:val="404040"/>
                <w:kern w:val="0"/>
                <w:sz w:val="20"/>
                <w:szCs w:val="20"/>
                <w:lang w:bidi="ar"/>
              </w:rPr>
              <w:t>婴幼儿发展引导员</w:t>
            </w:r>
          </w:p>
          <w:p w14:paraId="76260FA8">
            <w:pPr>
              <w:jc w:val="center"/>
              <w:rPr>
                <w:rFonts w:ascii="仿宋" w:hAnsi="仿宋" w:eastAsia="仿宋" w:cs="仿宋"/>
                <w:spacing w:val="-4"/>
                <w:sz w:val="20"/>
                <w:szCs w:val="20"/>
              </w:rPr>
            </w:pPr>
          </w:p>
        </w:tc>
        <w:tc>
          <w:tcPr>
            <w:tcW w:w="1720" w:type="dxa"/>
            <w:vAlign w:val="center"/>
          </w:tcPr>
          <w:p w14:paraId="1AF2EA30">
            <w:pPr>
              <w:pStyle w:val="12"/>
              <w:widowControl/>
              <w:ind w:firstLine="400" w:firstLineChars="200"/>
              <w:rPr>
                <w:rFonts w:ascii="仿宋" w:hAnsi="仿宋" w:eastAsia="仿宋" w:cs="仿宋"/>
                <w:sz w:val="20"/>
                <w:szCs w:val="20"/>
              </w:rPr>
            </w:pPr>
            <w:r>
              <w:rPr>
                <w:rFonts w:hint="eastAsia" w:ascii="仿宋" w:hAnsi="仿宋" w:eastAsia="仿宋" w:cs="仿宋"/>
                <w:color w:val="404040"/>
                <w:sz w:val="20"/>
                <w:szCs w:val="20"/>
              </w:rPr>
              <w:t>1、指导孕期夫妇掌握孕期营养及胎教环境营造；</w:t>
            </w:r>
          </w:p>
          <w:p w14:paraId="419B5E46">
            <w:pPr>
              <w:pStyle w:val="12"/>
              <w:widowControl/>
              <w:ind w:firstLine="400" w:firstLineChars="200"/>
              <w:rPr>
                <w:rFonts w:ascii="仿宋" w:hAnsi="仿宋" w:eastAsia="仿宋" w:cs="仿宋"/>
                <w:color w:val="404040"/>
                <w:sz w:val="20"/>
                <w:szCs w:val="20"/>
              </w:rPr>
            </w:pPr>
            <w:r>
              <w:rPr>
                <w:rFonts w:hint="eastAsia" w:ascii="仿宋" w:hAnsi="仿宋" w:eastAsia="仿宋" w:cs="仿宋"/>
                <w:color w:val="404040"/>
                <w:sz w:val="20"/>
                <w:szCs w:val="20"/>
              </w:rPr>
              <w:t>2、指导看护人运用0~3岁发育标准及测评工具；</w:t>
            </w:r>
          </w:p>
          <w:p w14:paraId="63EF20B5">
            <w:pPr>
              <w:pStyle w:val="12"/>
              <w:widowControl/>
              <w:ind w:firstLine="400" w:firstLineChars="200"/>
              <w:rPr>
                <w:rFonts w:ascii="仿宋" w:hAnsi="仿宋" w:eastAsia="仿宋" w:cs="仿宋"/>
                <w:sz w:val="20"/>
                <w:szCs w:val="20"/>
              </w:rPr>
            </w:pPr>
            <w:r>
              <w:rPr>
                <w:rFonts w:hint="eastAsia" w:ascii="仿宋" w:hAnsi="仿宋" w:eastAsia="仿宋" w:cs="仿宋"/>
                <w:color w:val="404040"/>
                <w:sz w:val="20"/>
                <w:szCs w:val="20"/>
              </w:rPr>
              <w:t>3、提供科学养育指导及家庭日常照料建议；</w:t>
            </w:r>
          </w:p>
          <w:p w14:paraId="289A73C5">
            <w:pPr>
              <w:pStyle w:val="12"/>
              <w:widowControl/>
              <w:ind w:firstLine="400" w:firstLineChars="200"/>
              <w:rPr>
                <w:rFonts w:ascii="仿宋" w:hAnsi="仿宋" w:eastAsia="仿宋" w:cs="仿宋"/>
                <w:sz w:val="20"/>
                <w:szCs w:val="20"/>
              </w:rPr>
            </w:pPr>
            <w:r>
              <w:rPr>
                <w:rFonts w:hint="eastAsia" w:ascii="仿宋" w:hAnsi="仿宋" w:eastAsia="仿宋" w:cs="仿宋"/>
                <w:color w:val="404040"/>
                <w:sz w:val="20"/>
                <w:szCs w:val="20"/>
              </w:rPr>
              <w:t>4、指导婴幼儿喂养及营养补充方法；</w:t>
            </w:r>
          </w:p>
          <w:p w14:paraId="16BF5A45">
            <w:pPr>
              <w:pStyle w:val="12"/>
              <w:widowControl/>
              <w:ind w:firstLine="400" w:firstLineChars="200"/>
              <w:rPr>
                <w:rFonts w:ascii="仿宋" w:hAnsi="仿宋" w:eastAsia="仿宋" w:cs="仿宋"/>
                <w:strike/>
                <w:spacing w:val="-4"/>
                <w:sz w:val="20"/>
                <w:szCs w:val="20"/>
              </w:rPr>
            </w:pPr>
            <w:r>
              <w:rPr>
                <w:rFonts w:hint="eastAsia" w:ascii="仿宋" w:hAnsi="仿宋" w:eastAsia="仿宋" w:cs="仿宋"/>
                <w:color w:val="404040"/>
                <w:sz w:val="20"/>
                <w:szCs w:val="20"/>
              </w:rPr>
              <w:t>5、创设适宜环境并示范婴幼儿互动游戏。</w:t>
            </w:r>
          </w:p>
        </w:tc>
        <w:tc>
          <w:tcPr>
            <w:tcW w:w="2834" w:type="dxa"/>
          </w:tcPr>
          <w:p w14:paraId="3DE71369">
            <w:pPr>
              <w:widowControl/>
              <w:ind w:firstLine="400" w:firstLineChars="200"/>
              <w:jc w:val="left"/>
              <w:rPr>
                <w:rFonts w:ascii="仿宋" w:hAnsi="仿宋" w:eastAsia="仿宋" w:cs="仿宋"/>
                <w:color w:val="404040"/>
                <w:kern w:val="0"/>
                <w:sz w:val="20"/>
                <w:szCs w:val="20"/>
                <w:shd w:val="clear" w:color="auto" w:fill="FFFFFF"/>
                <w:lang w:bidi="ar"/>
              </w:rPr>
            </w:pPr>
            <w:r>
              <w:rPr>
                <w:rFonts w:hint="eastAsia" w:ascii="仿宋" w:hAnsi="仿宋" w:eastAsia="仿宋" w:cs="仿宋"/>
                <w:color w:val="404040"/>
                <w:kern w:val="0"/>
                <w:sz w:val="20"/>
                <w:szCs w:val="20"/>
                <w:shd w:val="clear" w:color="auto" w:fill="FFFFFF"/>
                <w:lang w:bidi="ar"/>
              </w:rPr>
              <w:t>1. 掌握孕期营养学及胎教实施规范</w:t>
            </w:r>
            <w:r>
              <w:rPr>
                <w:rFonts w:hint="eastAsia" w:ascii="仿宋" w:hAnsi="仿宋" w:eastAsia="仿宋" w:cs="仿宋"/>
                <w:color w:val="404040"/>
                <w:kern w:val="0"/>
                <w:sz w:val="20"/>
                <w:szCs w:val="20"/>
                <w:lang w:bidi="ar"/>
              </w:rPr>
              <w:br w:type="textWrapping"/>
            </w:r>
            <w:r>
              <w:rPr>
                <w:rFonts w:hint="eastAsia" w:ascii="仿宋" w:hAnsi="仿宋" w:eastAsia="仿宋" w:cs="仿宋"/>
                <w:color w:val="404040"/>
                <w:kern w:val="0"/>
                <w:sz w:val="20"/>
                <w:szCs w:val="20"/>
                <w:shd w:val="clear" w:color="auto" w:fill="FFFFFF"/>
                <w:lang w:bidi="ar"/>
              </w:rPr>
              <w:t>2. 熟练使用《0-3岁儿童发育量表》等测评工具</w:t>
            </w:r>
            <w:r>
              <w:rPr>
                <w:rFonts w:hint="eastAsia" w:ascii="仿宋" w:hAnsi="仿宋" w:eastAsia="仿宋" w:cs="仿宋"/>
                <w:color w:val="404040"/>
                <w:kern w:val="0"/>
                <w:sz w:val="20"/>
                <w:szCs w:val="20"/>
                <w:lang w:bidi="ar"/>
              </w:rPr>
              <w:br w:type="textWrapping"/>
            </w:r>
            <w:r>
              <w:rPr>
                <w:rFonts w:hint="eastAsia" w:ascii="仿宋" w:hAnsi="仿宋" w:eastAsia="仿宋" w:cs="仿宋"/>
                <w:color w:val="404040"/>
                <w:kern w:val="0"/>
                <w:sz w:val="20"/>
                <w:szCs w:val="20"/>
                <w:shd w:val="clear" w:color="auto" w:fill="FFFFFF"/>
                <w:lang w:bidi="ar"/>
              </w:rPr>
              <w:t>3. 具备养育行为分析与指导能力</w:t>
            </w:r>
            <w:r>
              <w:rPr>
                <w:rFonts w:hint="eastAsia" w:ascii="仿宋" w:hAnsi="仿宋" w:eastAsia="仿宋" w:cs="仿宋"/>
                <w:color w:val="404040"/>
                <w:kern w:val="0"/>
                <w:sz w:val="20"/>
                <w:szCs w:val="20"/>
                <w:lang w:bidi="ar"/>
              </w:rPr>
              <w:br w:type="textWrapping"/>
            </w:r>
            <w:r>
              <w:rPr>
                <w:rFonts w:hint="eastAsia" w:ascii="仿宋" w:hAnsi="仿宋" w:eastAsia="仿宋" w:cs="仿宋"/>
                <w:color w:val="404040"/>
                <w:kern w:val="0"/>
                <w:sz w:val="20"/>
                <w:szCs w:val="20"/>
                <w:shd w:val="clear" w:color="auto" w:fill="FFFFFF"/>
                <w:lang w:bidi="ar"/>
              </w:rPr>
              <w:t>4. 掌握婴幼儿膳食营养搭配原则</w:t>
            </w:r>
            <w:r>
              <w:rPr>
                <w:rFonts w:hint="eastAsia" w:ascii="仿宋" w:hAnsi="仿宋" w:eastAsia="仿宋" w:cs="仿宋"/>
                <w:color w:val="404040"/>
                <w:kern w:val="0"/>
                <w:sz w:val="20"/>
                <w:szCs w:val="20"/>
                <w:lang w:bidi="ar"/>
              </w:rPr>
              <w:br w:type="textWrapping"/>
            </w:r>
            <w:r>
              <w:rPr>
                <w:rFonts w:hint="eastAsia" w:ascii="仿宋" w:hAnsi="仿宋" w:eastAsia="仿宋" w:cs="仿宋"/>
                <w:color w:val="404040"/>
                <w:kern w:val="0"/>
                <w:sz w:val="20"/>
                <w:szCs w:val="20"/>
                <w:shd w:val="clear" w:color="auto" w:fill="FFFFFF"/>
                <w:lang w:bidi="ar"/>
              </w:rPr>
              <w:t>5. 能设计适龄游戏并示范亲子互动技巧</w:t>
            </w:r>
          </w:p>
          <w:p w14:paraId="190BECC4">
            <w:pPr>
              <w:widowControl/>
              <w:ind w:firstLine="400" w:firstLineChars="200"/>
              <w:jc w:val="left"/>
              <w:rPr>
                <w:rFonts w:ascii="仿宋" w:hAnsi="仿宋" w:eastAsia="仿宋" w:cs="仿宋"/>
                <w:color w:val="404040"/>
                <w:kern w:val="0"/>
                <w:sz w:val="20"/>
                <w:szCs w:val="20"/>
                <w:shd w:val="clear" w:color="auto" w:fill="FFFFFF"/>
                <w:lang w:bidi="ar"/>
              </w:rPr>
            </w:pPr>
            <w:r>
              <w:rPr>
                <w:rFonts w:hint="eastAsia" w:ascii="仿宋" w:hAnsi="仿宋" w:eastAsia="仿宋" w:cs="仿宋"/>
                <w:color w:val="404040"/>
                <w:kern w:val="0"/>
                <w:sz w:val="20"/>
                <w:szCs w:val="20"/>
                <w:shd w:val="clear" w:color="auto" w:fill="FFFFFF"/>
                <w:lang w:bidi="ar"/>
              </w:rPr>
              <w:t>6.具备处理紧急情况的能力</w:t>
            </w:r>
          </w:p>
        </w:tc>
        <w:tc>
          <w:tcPr>
            <w:tcW w:w="3080" w:type="dxa"/>
          </w:tcPr>
          <w:p w14:paraId="75444122">
            <w:pPr>
              <w:rPr>
                <w:rFonts w:ascii="仿宋" w:hAnsi="仿宋" w:eastAsia="仿宋" w:cs="仿宋"/>
                <w:color w:val="404040"/>
                <w:kern w:val="0"/>
                <w:sz w:val="20"/>
                <w:szCs w:val="20"/>
                <w:shd w:val="clear" w:color="auto" w:fill="FFFFFF"/>
                <w:lang w:bidi="ar"/>
              </w:rPr>
            </w:pPr>
          </w:p>
          <w:p w14:paraId="47F83218">
            <w:pPr>
              <w:ind w:firstLine="400" w:firstLineChars="200"/>
              <w:rPr>
                <w:rFonts w:ascii="仿宋" w:hAnsi="仿宋" w:eastAsia="仿宋" w:cs="仿宋"/>
                <w:color w:val="404040"/>
                <w:kern w:val="0"/>
                <w:sz w:val="20"/>
                <w:szCs w:val="20"/>
                <w:lang w:bidi="ar"/>
              </w:rPr>
            </w:pPr>
            <w:r>
              <w:rPr>
                <w:rFonts w:hint="eastAsia" w:ascii="仿宋" w:hAnsi="仿宋" w:eastAsia="仿宋" w:cs="仿宋"/>
                <w:color w:val="404040"/>
                <w:kern w:val="0"/>
                <w:sz w:val="20"/>
                <w:szCs w:val="20"/>
                <w:shd w:val="clear" w:color="auto" w:fill="FFFFFF"/>
                <w:lang w:bidi="ar"/>
              </w:rPr>
              <w:t>《婴幼儿生理基础》</w:t>
            </w:r>
            <w:r>
              <w:rPr>
                <w:rFonts w:hint="eastAsia" w:ascii="仿宋" w:hAnsi="仿宋" w:eastAsia="仿宋" w:cs="仿宋"/>
                <w:color w:val="404040"/>
                <w:kern w:val="0"/>
                <w:sz w:val="20"/>
                <w:szCs w:val="20"/>
                <w:lang w:bidi="ar"/>
              </w:rPr>
              <w:br w:type="textWrapping"/>
            </w:r>
            <w:r>
              <w:rPr>
                <w:rFonts w:hint="eastAsia" w:ascii="仿宋" w:hAnsi="仿宋" w:eastAsia="仿宋" w:cs="仿宋"/>
                <w:color w:val="404040"/>
                <w:kern w:val="0"/>
                <w:sz w:val="20"/>
                <w:szCs w:val="20"/>
                <w:shd w:val="clear" w:color="auto" w:fill="FFFFFF"/>
                <w:lang w:bidi="ar"/>
              </w:rPr>
              <w:t>《婴幼儿心理发展》</w:t>
            </w:r>
            <w:r>
              <w:rPr>
                <w:rFonts w:hint="eastAsia" w:ascii="仿宋" w:hAnsi="仿宋" w:eastAsia="仿宋" w:cs="仿宋"/>
                <w:color w:val="404040"/>
                <w:kern w:val="0"/>
                <w:sz w:val="20"/>
                <w:szCs w:val="20"/>
                <w:lang w:bidi="ar"/>
              </w:rPr>
              <w:br w:type="textWrapping"/>
            </w:r>
            <w:r>
              <w:rPr>
                <w:rFonts w:hint="eastAsia" w:ascii="仿宋" w:hAnsi="仿宋" w:eastAsia="仿宋" w:cs="仿宋"/>
                <w:color w:val="404040"/>
                <w:kern w:val="0"/>
                <w:sz w:val="20"/>
                <w:szCs w:val="20"/>
                <w:shd w:val="clear" w:color="auto" w:fill="FFFFFF"/>
                <w:lang w:bidi="ar"/>
              </w:rPr>
              <w:t>《婴幼儿营养与喂养》</w:t>
            </w:r>
            <w:r>
              <w:rPr>
                <w:rFonts w:hint="eastAsia" w:ascii="仿宋" w:hAnsi="仿宋" w:eastAsia="仿宋" w:cs="仿宋"/>
                <w:color w:val="404040"/>
                <w:kern w:val="0"/>
                <w:sz w:val="20"/>
                <w:szCs w:val="20"/>
                <w:lang w:bidi="ar"/>
              </w:rPr>
              <w:br w:type="textWrapping"/>
            </w:r>
            <w:r>
              <w:rPr>
                <w:rFonts w:hint="eastAsia" w:ascii="仿宋" w:hAnsi="仿宋" w:eastAsia="仿宋" w:cs="仿宋"/>
                <w:color w:val="404040"/>
                <w:kern w:val="0"/>
                <w:sz w:val="20"/>
                <w:szCs w:val="20"/>
                <w:lang w:bidi="ar"/>
              </w:rPr>
              <w:t>《婴幼儿回应性照护》</w:t>
            </w:r>
          </w:p>
          <w:p w14:paraId="7FF7F05D">
            <w:pPr>
              <w:ind w:firstLine="400" w:firstLineChars="200"/>
              <w:rPr>
                <w:rFonts w:ascii="仿宋" w:hAnsi="仿宋" w:eastAsia="仿宋" w:cs="仿宋"/>
                <w:color w:val="404040"/>
                <w:kern w:val="0"/>
                <w:sz w:val="20"/>
                <w:szCs w:val="20"/>
                <w:lang w:bidi="ar"/>
              </w:rPr>
            </w:pPr>
            <w:r>
              <w:rPr>
                <w:rFonts w:hint="eastAsia" w:ascii="仿宋" w:hAnsi="仿宋" w:eastAsia="仿宋" w:cs="仿宋"/>
                <w:color w:val="404040"/>
                <w:kern w:val="0"/>
                <w:sz w:val="20"/>
                <w:szCs w:val="20"/>
                <w:lang w:bidi="ar"/>
              </w:rPr>
              <w:t>《托幼机构组织管理实务》</w:t>
            </w:r>
          </w:p>
          <w:p w14:paraId="398C8329">
            <w:pPr>
              <w:ind w:firstLine="400" w:firstLineChars="200"/>
              <w:rPr>
                <w:rFonts w:ascii="仿宋" w:hAnsi="仿宋" w:eastAsia="仿宋" w:cs="仿宋"/>
                <w:color w:val="404040"/>
                <w:kern w:val="0"/>
                <w:sz w:val="20"/>
                <w:szCs w:val="20"/>
                <w:lang w:bidi="ar"/>
              </w:rPr>
            </w:pPr>
            <w:r>
              <w:rPr>
                <w:rFonts w:hint="eastAsia" w:ascii="仿宋" w:hAnsi="仿宋" w:eastAsia="仿宋" w:cs="仿宋"/>
                <w:color w:val="404040"/>
                <w:kern w:val="0"/>
                <w:sz w:val="20"/>
                <w:szCs w:val="20"/>
                <w:lang w:bidi="ar"/>
              </w:rPr>
              <w:t>《婴幼儿活动设计与指导》</w:t>
            </w:r>
          </w:p>
          <w:p w14:paraId="36DE2D38">
            <w:pPr>
              <w:ind w:firstLine="400" w:firstLineChars="200"/>
              <w:rPr>
                <w:rFonts w:ascii="仿宋" w:hAnsi="仿宋" w:eastAsia="仿宋" w:cs="仿宋"/>
                <w:color w:val="404040"/>
                <w:kern w:val="0"/>
                <w:sz w:val="20"/>
                <w:szCs w:val="20"/>
                <w:lang w:bidi="ar"/>
              </w:rPr>
            </w:pPr>
            <w:r>
              <w:rPr>
                <w:rFonts w:hint="eastAsia" w:ascii="仿宋" w:hAnsi="仿宋" w:eastAsia="仿宋" w:cs="仿宋"/>
                <w:color w:val="404040"/>
                <w:kern w:val="0"/>
                <w:sz w:val="20"/>
                <w:szCs w:val="20"/>
                <w:lang w:bidi="ar"/>
              </w:rPr>
              <w:t>《婴幼儿伤害预防与处理》</w:t>
            </w:r>
          </w:p>
        </w:tc>
      </w:tr>
    </w:tbl>
    <w:tbl>
      <w:tblPr>
        <w:tblStyle w:val="13"/>
        <w:tblpPr w:leftFromText="180" w:rightFromText="180" w:vertAnchor="text" w:horzAnchor="page" w:tblpX="1795" w:tblpY="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11F1F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trPr>
        <w:tc>
          <w:tcPr>
            <w:tcW w:w="1384" w:type="dxa"/>
            <w:shd w:val="clear" w:color="auto" w:fill="auto"/>
            <w:vAlign w:val="center"/>
          </w:tcPr>
          <w:p w14:paraId="1AA6C8C1">
            <w:pPr>
              <w:jc w:val="both"/>
              <w:rPr>
                <w:rFonts w:ascii="仿宋" w:hAnsi="仿宋" w:eastAsia="仿宋" w:cs="仿宋"/>
                <w:spacing w:val="-4"/>
                <w:sz w:val="20"/>
                <w:szCs w:val="20"/>
              </w:rPr>
            </w:pPr>
            <w:r>
              <w:rPr>
                <w:rFonts w:hint="eastAsia" w:ascii="仿宋" w:hAnsi="仿宋" w:eastAsia="仿宋" w:cs="仿宋"/>
                <w:spacing w:val="-4"/>
                <w:sz w:val="20"/>
                <w:szCs w:val="20"/>
              </w:rPr>
              <w:t>保育师</w:t>
            </w:r>
          </w:p>
        </w:tc>
        <w:tc>
          <w:tcPr>
            <w:tcW w:w="1720" w:type="dxa"/>
            <w:shd w:val="clear" w:color="auto" w:fill="auto"/>
            <w:vAlign w:val="center"/>
          </w:tcPr>
          <w:p w14:paraId="2BC550B5">
            <w:pPr>
              <w:pStyle w:val="12"/>
              <w:widowControl/>
              <w:ind w:firstLine="400" w:firstLineChars="200"/>
              <w:rPr>
                <w:rFonts w:ascii="仿宋" w:hAnsi="仿宋" w:eastAsia="仿宋" w:cs="仿宋"/>
                <w:color w:val="404040"/>
                <w:sz w:val="20"/>
                <w:szCs w:val="20"/>
              </w:rPr>
            </w:pPr>
            <w:r>
              <w:rPr>
                <w:rFonts w:hint="eastAsia" w:ascii="仿宋" w:hAnsi="仿宋" w:eastAsia="仿宋" w:cs="仿宋"/>
                <w:color w:val="404040"/>
                <w:sz w:val="20"/>
                <w:szCs w:val="20"/>
              </w:rPr>
              <w:t>1、观察婴幼儿生长发育及个体差异，实施促进措施；</w:t>
            </w:r>
          </w:p>
          <w:p w14:paraId="6E379217">
            <w:pPr>
              <w:pStyle w:val="12"/>
              <w:widowControl/>
              <w:ind w:firstLine="400" w:firstLineChars="200"/>
              <w:rPr>
                <w:rFonts w:ascii="仿宋" w:hAnsi="仿宋" w:eastAsia="仿宋" w:cs="仿宋"/>
                <w:color w:val="404040"/>
                <w:sz w:val="20"/>
                <w:szCs w:val="20"/>
              </w:rPr>
            </w:pPr>
            <w:r>
              <w:rPr>
                <w:rFonts w:hint="eastAsia" w:ascii="仿宋" w:hAnsi="仿宋" w:eastAsia="仿宋" w:cs="仿宋"/>
                <w:color w:val="404040"/>
                <w:sz w:val="20"/>
                <w:szCs w:val="20"/>
              </w:rPr>
              <w:t>2、管理婴幼儿一日生活，包括进餐、睡眠、清洁、互动及安全护理；</w:t>
            </w:r>
          </w:p>
          <w:p w14:paraId="75A22E02">
            <w:pPr>
              <w:pStyle w:val="12"/>
              <w:widowControl/>
              <w:ind w:firstLine="400" w:firstLineChars="200"/>
              <w:rPr>
                <w:rFonts w:ascii="仿宋" w:hAnsi="仿宋" w:eastAsia="仿宋" w:cs="仿宋"/>
                <w:color w:val="404040"/>
                <w:sz w:val="20"/>
                <w:szCs w:val="20"/>
              </w:rPr>
            </w:pPr>
            <w:r>
              <w:rPr>
                <w:rFonts w:hint="eastAsia" w:ascii="仿宋" w:hAnsi="仿宋" w:eastAsia="仿宋" w:cs="仿宋"/>
                <w:color w:val="404040"/>
                <w:sz w:val="20"/>
                <w:szCs w:val="20"/>
              </w:rPr>
              <w:t>3、管理并清洁消毒室内外物品，营造健康保育环境；</w:t>
            </w:r>
          </w:p>
          <w:p w14:paraId="182FEA00">
            <w:pPr>
              <w:pStyle w:val="12"/>
              <w:widowControl/>
              <w:ind w:firstLine="400" w:firstLineChars="200"/>
              <w:rPr>
                <w:rFonts w:ascii="仿宋" w:hAnsi="仿宋" w:eastAsia="仿宋" w:cs="仿宋"/>
                <w:color w:val="404040"/>
                <w:sz w:val="20"/>
                <w:szCs w:val="20"/>
              </w:rPr>
            </w:pPr>
            <w:r>
              <w:rPr>
                <w:rFonts w:hint="eastAsia" w:ascii="仿宋" w:hAnsi="仿宋" w:eastAsia="仿宋" w:cs="仿宋"/>
                <w:color w:val="404040"/>
                <w:sz w:val="20"/>
                <w:szCs w:val="20"/>
              </w:rPr>
              <w:t>4、执行晨午晚检，监测情绪及身体异常，发现并处理常见疾病及意外伤害；</w:t>
            </w:r>
          </w:p>
          <w:p w14:paraId="5934C99F">
            <w:pPr>
              <w:pStyle w:val="12"/>
              <w:widowControl/>
              <w:ind w:firstLine="400" w:firstLineChars="200"/>
              <w:rPr>
                <w:rFonts w:ascii="仿宋" w:hAnsi="仿宋" w:eastAsia="仿宋" w:cs="仿宋"/>
                <w:color w:val="404040"/>
                <w:sz w:val="20"/>
                <w:szCs w:val="20"/>
              </w:rPr>
            </w:pPr>
            <w:r>
              <w:rPr>
                <w:rFonts w:hint="eastAsia" w:ascii="仿宋" w:hAnsi="仿宋" w:eastAsia="仿宋" w:cs="仿宋"/>
                <w:color w:val="404040"/>
                <w:sz w:val="20"/>
                <w:szCs w:val="20"/>
              </w:rPr>
              <w:t>5、与家长、监护人及教师沟通，组织适宜的教育、游戏及体育活动；</w:t>
            </w:r>
          </w:p>
          <w:p w14:paraId="561976DC">
            <w:pPr>
              <w:pStyle w:val="12"/>
              <w:widowControl/>
              <w:ind w:firstLine="400" w:firstLineChars="200"/>
              <w:rPr>
                <w:rFonts w:ascii="仿宋" w:hAnsi="仿宋" w:eastAsia="仿宋" w:cs="仿宋"/>
                <w:color w:val="000000"/>
                <w:kern w:val="0"/>
                <w:sz w:val="20"/>
                <w:szCs w:val="20"/>
                <w:lang w:bidi="ar"/>
              </w:rPr>
            </w:pPr>
            <w:r>
              <w:rPr>
                <w:rFonts w:hint="eastAsia" w:ascii="仿宋" w:hAnsi="仿宋" w:eastAsia="仿宋" w:cs="仿宋"/>
                <w:color w:val="404040"/>
                <w:sz w:val="20"/>
                <w:szCs w:val="20"/>
              </w:rPr>
              <w:t>6、制定保育方案，培养自理能力及良好品德，促进身心健康发展。</w:t>
            </w:r>
          </w:p>
          <w:p w14:paraId="3B0484B3">
            <w:pPr>
              <w:widowControl/>
              <w:jc w:val="left"/>
              <w:rPr>
                <w:rFonts w:ascii="仿宋" w:hAnsi="仿宋" w:eastAsia="仿宋" w:cs="仿宋"/>
                <w:color w:val="000000"/>
                <w:kern w:val="0"/>
                <w:sz w:val="20"/>
                <w:szCs w:val="20"/>
                <w:lang w:bidi="ar"/>
              </w:rPr>
            </w:pPr>
          </w:p>
        </w:tc>
        <w:tc>
          <w:tcPr>
            <w:tcW w:w="2834" w:type="dxa"/>
            <w:shd w:val="clear" w:color="auto" w:fill="auto"/>
          </w:tcPr>
          <w:p w14:paraId="0808530C">
            <w:pPr>
              <w:widowControl/>
              <w:ind w:firstLine="400" w:firstLineChars="200"/>
              <w:jc w:val="left"/>
              <w:rPr>
                <w:rFonts w:ascii="仿宋" w:hAnsi="仿宋" w:eastAsia="仿宋" w:cs="仿宋"/>
                <w:color w:val="404040"/>
                <w:kern w:val="0"/>
                <w:sz w:val="20"/>
                <w:szCs w:val="20"/>
                <w:shd w:val="clear" w:color="auto" w:fill="FFFFFF"/>
                <w:lang w:bidi="ar"/>
              </w:rPr>
            </w:pPr>
            <w:r>
              <w:rPr>
                <w:rFonts w:hint="eastAsia" w:ascii="仿宋" w:hAnsi="仿宋" w:eastAsia="仿宋" w:cs="仿宋"/>
                <w:color w:val="404040"/>
                <w:kern w:val="0"/>
                <w:sz w:val="20"/>
                <w:szCs w:val="20"/>
                <w:shd w:val="clear" w:color="auto" w:fill="FFFFFF"/>
                <w:lang w:bidi="ar"/>
              </w:rPr>
              <w:t>1. 能规范执行《托育机构保育指导大纲》生活照料流程</w:t>
            </w:r>
            <w:r>
              <w:rPr>
                <w:rFonts w:hint="eastAsia" w:ascii="仿宋" w:hAnsi="仿宋" w:eastAsia="仿宋" w:cs="仿宋"/>
                <w:color w:val="404040"/>
                <w:kern w:val="0"/>
                <w:sz w:val="20"/>
                <w:szCs w:val="20"/>
                <w:shd w:val="clear" w:color="auto" w:fill="FFFFFF"/>
                <w:lang w:bidi="ar"/>
              </w:rPr>
              <w:br w:type="textWrapping"/>
            </w:r>
            <w:r>
              <w:rPr>
                <w:rFonts w:hint="eastAsia" w:ascii="仿宋" w:hAnsi="仿宋" w:eastAsia="仿宋" w:cs="仿宋"/>
                <w:color w:val="404040"/>
                <w:kern w:val="0"/>
                <w:sz w:val="20"/>
                <w:szCs w:val="20"/>
                <w:shd w:val="clear" w:color="auto" w:fill="FFFFFF"/>
                <w:lang w:bidi="ar"/>
              </w:rPr>
              <w:t>2. 掌握环境消毒、玩具清洁等卫生保健专业技能</w:t>
            </w:r>
            <w:r>
              <w:rPr>
                <w:rFonts w:hint="eastAsia" w:ascii="仿宋" w:hAnsi="仿宋" w:eastAsia="仿宋" w:cs="仿宋"/>
                <w:color w:val="404040"/>
                <w:kern w:val="0"/>
                <w:sz w:val="20"/>
                <w:szCs w:val="20"/>
                <w:shd w:val="clear" w:color="auto" w:fill="FFFFFF"/>
                <w:lang w:bidi="ar"/>
              </w:rPr>
              <w:br w:type="textWrapping"/>
            </w:r>
            <w:r>
              <w:rPr>
                <w:rFonts w:hint="eastAsia" w:ascii="仿宋" w:hAnsi="仿宋" w:eastAsia="仿宋" w:cs="仿宋"/>
                <w:color w:val="404040"/>
                <w:kern w:val="0"/>
                <w:sz w:val="20"/>
                <w:szCs w:val="20"/>
                <w:shd w:val="clear" w:color="auto" w:fill="FFFFFF"/>
                <w:lang w:bidi="ar"/>
              </w:rPr>
              <w:t>3. 具备配合开展语言、认知等发展活动的组织实施能力</w:t>
            </w:r>
            <w:r>
              <w:rPr>
                <w:rFonts w:hint="eastAsia" w:ascii="仿宋" w:hAnsi="仿宋" w:eastAsia="仿宋" w:cs="仿宋"/>
                <w:color w:val="404040"/>
                <w:kern w:val="0"/>
                <w:sz w:val="20"/>
                <w:szCs w:val="20"/>
                <w:shd w:val="clear" w:color="auto" w:fill="FFFFFF"/>
                <w:lang w:bidi="ar"/>
              </w:rPr>
              <w:br w:type="textWrapping"/>
            </w:r>
            <w:r>
              <w:rPr>
                <w:rFonts w:hint="eastAsia" w:ascii="仿宋" w:hAnsi="仿宋" w:eastAsia="仿宋" w:cs="仿宋"/>
                <w:color w:val="404040"/>
                <w:kern w:val="0"/>
                <w:sz w:val="20"/>
                <w:szCs w:val="20"/>
                <w:shd w:val="clear" w:color="auto" w:fill="FFFFFF"/>
                <w:lang w:bidi="ar"/>
              </w:rPr>
              <w:t>4. 熟悉传染病预防与应急处理流程</w:t>
            </w:r>
          </w:p>
          <w:p w14:paraId="0224C2B4">
            <w:pPr>
              <w:widowControl/>
              <w:ind w:firstLine="400" w:firstLineChars="200"/>
              <w:jc w:val="left"/>
              <w:rPr>
                <w:rFonts w:ascii="仿宋" w:hAnsi="仿宋" w:eastAsia="仿宋" w:cs="仿宋"/>
                <w:color w:val="404040"/>
                <w:kern w:val="0"/>
                <w:sz w:val="20"/>
                <w:szCs w:val="20"/>
                <w:shd w:val="clear" w:color="auto" w:fill="FFFFFF"/>
                <w:lang w:bidi="ar"/>
              </w:rPr>
            </w:pPr>
            <w:r>
              <w:rPr>
                <w:rFonts w:hint="eastAsia" w:ascii="仿宋" w:hAnsi="仿宋" w:eastAsia="仿宋" w:cs="仿宋"/>
                <w:color w:val="404040"/>
                <w:kern w:val="0"/>
                <w:sz w:val="20"/>
                <w:szCs w:val="20"/>
                <w:shd w:val="clear" w:color="auto" w:fill="FFFFFF"/>
                <w:lang w:bidi="ar"/>
              </w:rPr>
              <w:t>5.能搭配合理膳食</w:t>
            </w:r>
          </w:p>
          <w:p w14:paraId="640FF485">
            <w:pPr>
              <w:widowControl/>
              <w:jc w:val="left"/>
              <w:rPr>
                <w:rFonts w:ascii="仿宋" w:hAnsi="仿宋" w:eastAsia="仿宋" w:cs="仿宋"/>
                <w:color w:val="404040"/>
                <w:kern w:val="0"/>
                <w:sz w:val="20"/>
                <w:szCs w:val="20"/>
                <w:shd w:val="clear" w:color="auto" w:fill="FFFFFF"/>
                <w:lang w:bidi="ar"/>
              </w:rPr>
            </w:pPr>
          </w:p>
        </w:tc>
        <w:tc>
          <w:tcPr>
            <w:tcW w:w="3080" w:type="dxa"/>
            <w:shd w:val="clear" w:color="auto" w:fill="auto"/>
          </w:tcPr>
          <w:p w14:paraId="57EE8199">
            <w:pPr>
              <w:ind w:firstLine="400" w:firstLineChars="200"/>
              <w:rPr>
                <w:rFonts w:ascii="仿宋" w:hAnsi="仿宋" w:eastAsia="仿宋" w:cs="仿宋"/>
                <w:color w:val="404040"/>
                <w:kern w:val="0"/>
                <w:sz w:val="20"/>
                <w:szCs w:val="20"/>
                <w:shd w:val="clear" w:color="auto" w:fill="FFFFFF"/>
                <w:lang w:bidi="ar"/>
              </w:rPr>
            </w:pPr>
            <w:r>
              <w:rPr>
                <w:rFonts w:hint="eastAsia" w:ascii="仿宋" w:hAnsi="仿宋" w:eastAsia="仿宋" w:cs="仿宋"/>
                <w:color w:val="404040"/>
                <w:kern w:val="0"/>
                <w:sz w:val="20"/>
                <w:szCs w:val="20"/>
                <w:shd w:val="clear" w:color="auto" w:fill="FFFFFF"/>
                <w:lang w:bidi="ar"/>
              </w:rPr>
              <w:t>《婴幼儿生理基础》</w:t>
            </w:r>
            <w:r>
              <w:rPr>
                <w:rFonts w:hint="eastAsia" w:ascii="仿宋" w:hAnsi="仿宋" w:eastAsia="仿宋" w:cs="仿宋"/>
                <w:color w:val="404040"/>
                <w:kern w:val="0"/>
                <w:sz w:val="20"/>
                <w:szCs w:val="20"/>
                <w:shd w:val="clear" w:color="auto" w:fill="FFFFFF"/>
                <w:lang w:bidi="ar"/>
              </w:rPr>
              <w:br w:type="textWrapping"/>
            </w:r>
            <w:r>
              <w:rPr>
                <w:rFonts w:hint="eastAsia" w:ascii="仿宋" w:hAnsi="仿宋" w:eastAsia="仿宋" w:cs="仿宋"/>
                <w:color w:val="404040"/>
                <w:kern w:val="0"/>
                <w:sz w:val="20"/>
                <w:szCs w:val="20"/>
                <w:shd w:val="clear" w:color="auto" w:fill="FFFFFF"/>
                <w:lang w:bidi="ar"/>
              </w:rPr>
              <w:t>《婴幼儿心理发展》</w:t>
            </w:r>
            <w:r>
              <w:rPr>
                <w:rFonts w:hint="eastAsia" w:ascii="仿宋" w:hAnsi="仿宋" w:eastAsia="仿宋" w:cs="仿宋"/>
                <w:color w:val="404040"/>
                <w:kern w:val="0"/>
                <w:sz w:val="20"/>
                <w:szCs w:val="20"/>
                <w:shd w:val="clear" w:color="auto" w:fill="FFFFFF"/>
                <w:lang w:bidi="ar"/>
              </w:rPr>
              <w:br w:type="textWrapping"/>
            </w:r>
            <w:r>
              <w:rPr>
                <w:rFonts w:hint="eastAsia" w:ascii="仿宋" w:hAnsi="仿宋" w:eastAsia="仿宋" w:cs="仿宋"/>
                <w:color w:val="404040"/>
                <w:kern w:val="0"/>
                <w:sz w:val="20"/>
                <w:szCs w:val="20"/>
                <w:shd w:val="clear" w:color="auto" w:fill="FFFFFF"/>
                <w:lang w:bidi="ar"/>
              </w:rPr>
              <w:t>《婴幼儿营养与喂养》</w:t>
            </w:r>
            <w:r>
              <w:rPr>
                <w:rFonts w:hint="eastAsia" w:ascii="仿宋" w:hAnsi="仿宋" w:eastAsia="仿宋" w:cs="仿宋"/>
                <w:color w:val="404040"/>
                <w:kern w:val="0"/>
                <w:sz w:val="20"/>
                <w:szCs w:val="20"/>
                <w:shd w:val="clear" w:color="auto" w:fill="FFFFFF"/>
                <w:lang w:bidi="ar"/>
              </w:rPr>
              <w:br w:type="textWrapping"/>
            </w:r>
            <w:r>
              <w:rPr>
                <w:rFonts w:hint="eastAsia" w:ascii="仿宋" w:hAnsi="仿宋" w:eastAsia="仿宋" w:cs="仿宋"/>
                <w:color w:val="404040"/>
                <w:kern w:val="0"/>
                <w:sz w:val="20"/>
                <w:szCs w:val="20"/>
                <w:shd w:val="clear" w:color="auto" w:fill="FFFFFF"/>
                <w:lang w:bidi="ar"/>
              </w:rPr>
              <w:t>《婴幼儿回应性照护》</w:t>
            </w:r>
          </w:p>
          <w:p w14:paraId="1ECCD581">
            <w:pPr>
              <w:ind w:firstLine="400" w:firstLineChars="200"/>
              <w:rPr>
                <w:rFonts w:ascii="仿宋" w:hAnsi="仿宋" w:eastAsia="仿宋" w:cs="仿宋"/>
                <w:color w:val="404040"/>
                <w:kern w:val="0"/>
                <w:sz w:val="20"/>
                <w:szCs w:val="20"/>
                <w:shd w:val="clear" w:color="auto" w:fill="FFFFFF"/>
                <w:lang w:bidi="ar"/>
              </w:rPr>
            </w:pPr>
            <w:r>
              <w:rPr>
                <w:rFonts w:hint="eastAsia" w:ascii="仿宋" w:hAnsi="仿宋" w:eastAsia="仿宋" w:cs="仿宋"/>
                <w:color w:val="404040"/>
                <w:kern w:val="0"/>
                <w:sz w:val="20"/>
                <w:szCs w:val="20"/>
                <w:shd w:val="clear" w:color="auto" w:fill="FFFFFF"/>
                <w:lang w:bidi="ar"/>
              </w:rPr>
              <w:t>《婴幼儿卫生与保健》</w:t>
            </w:r>
          </w:p>
          <w:p w14:paraId="509B9932">
            <w:pPr>
              <w:ind w:firstLine="400" w:firstLineChars="200"/>
              <w:rPr>
                <w:rFonts w:ascii="仿宋" w:hAnsi="仿宋" w:eastAsia="仿宋" w:cs="仿宋"/>
                <w:color w:val="404040"/>
                <w:kern w:val="0"/>
                <w:sz w:val="20"/>
                <w:szCs w:val="20"/>
                <w:shd w:val="clear" w:color="auto" w:fill="FFFFFF"/>
                <w:lang w:bidi="ar"/>
              </w:rPr>
            </w:pPr>
            <w:r>
              <w:rPr>
                <w:rFonts w:hint="eastAsia" w:ascii="仿宋" w:hAnsi="仿宋" w:eastAsia="仿宋" w:cs="仿宋"/>
                <w:color w:val="404040"/>
                <w:kern w:val="0"/>
                <w:sz w:val="20"/>
                <w:szCs w:val="20"/>
                <w:shd w:val="clear" w:color="auto" w:fill="FFFFFF"/>
                <w:lang w:bidi="ar"/>
              </w:rPr>
              <w:t>《婴幼儿行为观察与记录》</w:t>
            </w:r>
          </w:p>
          <w:p w14:paraId="68654E5F">
            <w:pPr>
              <w:ind w:firstLine="400" w:firstLineChars="200"/>
              <w:rPr>
                <w:rFonts w:ascii="仿宋" w:hAnsi="仿宋" w:eastAsia="仿宋" w:cs="仿宋"/>
                <w:color w:val="404040"/>
                <w:kern w:val="0"/>
                <w:sz w:val="20"/>
                <w:szCs w:val="20"/>
                <w:lang w:bidi="ar"/>
              </w:rPr>
            </w:pPr>
            <w:r>
              <w:rPr>
                <w:rFonts w:hint="eastAsia" w:ascii="仿宋" w:hAnsi="仿宋" w:eastAsia="仿宋" w:cs="仿宋"/>
                <w:color w:val="404040"/>
                <w:kern w:val="0"/>
                <w:sz w:val="20"/>
                <w:szCs w:val="20"/>
                <w:shd w:val="clear" w:color="auto" w:fill="FFFFFF"/>
                <w:lang w:bidi="ar"/>
              </w:rPr>
              <w:t>《婴幼儿家园共育》</w:t>
            </w:r>
          </w:p>
        </w:tc>
      </w:tr>
      <w:bookmarkEnd w:id="1"/>
    </w:tbl>
    <w:p w14:paraId="703590A7">
      <w:pPr>
        <w:overflowPunct w:val="0"/>
        <w:adjustRightInd w:val="0"/>
        <w:ind w:firstLine="640" w:firstLineChars="200"/>
        <w:rPr>
          <w:rFonts w:eastAsia="黑体"/>
          <w:szCs w:val="32"/>
        </w:rPr>
      </w:pPr>
      <w:r>
        <w:rPr>
          <w:rFonts w:hint="eastAsia" w:eastAsia="黑体"/>
          <w:szCs w:val="32"/>
        </w:rPr>
        <w:t>五、培养目标及规格</w:t>
      </w:r>
    </w:p>
    <w:p w14:paraId="179C0BCF">
      <w:pPr>
        <w:ind w:firstLine="643" w:firstLineChars="200"/>
        <w:rPr>
          <w:rFonts w:ascii="楷体_GB2312" w:hAnsi="楷体_GB2312" w:eastAsia="楷体_GB2312" w:cs="楷体_GB2312"/>
          <w:b/>
          <w:bCs/>
        </w:rPr>
      </w:pPr>
      <w:r>
        <w:rPr>
          <w:rFonts w:hint="eastAsia" w:ascii="楷体_GB2312" w:hAnsi="楷体_GB2312" w:eastAsia="楷体_GB2312" w:cs="楷体_GB2312"/>
          <w:b/>
          <w:bCs/>
        </w:rPr>
        <w:t>（一）培养目标</w:t>
      </w:r>
    </w:p>
    <w:p w14:paraId="7F52AC2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本专业培养能够践行社会主义核心价值观，传承技能文明，德智体美劳全面发展，掌握婴幼儿身心发展规律、早期教育理论及托育服务管理知识，具备科学照护、早期发展指导、健康管理和机构运营能力，能在托育机构、早教中心、社区服务中心等从事婴幼儿照护、教育指导及管理工作的复合型高技能人才。</w:t>
      </w:r>
    </w:p>
    <w:p w14:paraId="5B61C345">
      <w:pPr>
        <w:ind w:firstLine="643" w:firstLineChars="200"/>
        <w:rPr>
          <w:rFonts w:ascii="楷体_GB2312" w:hAnsi="楷体_GB2312" w:eastAsia="楷体_GB2312" w:cs="楷体_GB2312"/>
          <w:b/>
          <w:bCs/>
        </w:rPr>
      </w:pPr>
      <w:r>
        <w:rPr>
          <w:rFonts w:hint="eastAsia" w:ascii="楷体_GB2312" w:hAnsi="楷体_GB2312" w:eastAsia="楷体_GB2312" w:cs="楷体_GB2312"/>
          <w:b/>
          <w:bCs/>
        </w:rPr>
        <w:t>（二）培养规格</w:t>
      </w:r>
    </w:p>
    <w:p w14:paraId="2BB5772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40441E1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04BF3849">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6CE77CD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（3）掌握支撑本专业学习和可持续发展必备的语文、数学、外语（英语等）、信息技术等文化基础知识，具有良好的人文素养与科学素养，具备职业生涯规划能力；</w:t>
      </w:r>
    </w:p>
    <w:p w14:paraId="2B8A033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（4）具有良好的语言表达能力、文字表达能力、沟通合作能力，具有较强的集体意识和团队合作意识，学习1门外语并结合本专业加以运用；</w:t>
      </w:r>
    </w:p>
    <w:p w14:paraId="6BA6EDD9">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（5）掌握养老职业素养与安全、养老产业与养老服务业、养老服务礼仪与沟通、老年人体结构与功能、养老政策法规与标准、老年常见慢性病健康管理、健康养老大数据应用等专业基础理论知识；</w:t>
      </w:r>
    </w:p>
    <w:p w14:paraId="37CA43A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（6）掌握老年人日常生活能力、认知功能和精神状态、感知觉与沟通、社会参与及服务需求知识，具备进行老年人评估的能力或实践能力；</w:t>
      </w:r>
    </w:p>
    <w:p w14:paraId="4307FE7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（7）掌握老年人饮食照护、排泄照护、清洁照护、睡眠照护、生命体征测量、消毒防护等生活与基础照护知识，具备为失能失智老年人提供生活照护、基础照护的能力或实践能力；</w:t>
      </w:r>
    </w:p>
    <w:p w14:paraId="653CE0B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（8）掌握老年人生活能力康复训练以及辅助器具、助行器具选配与使用、生活环境适老化改造与控制技术知识，具备协助与指导老年人进行康复训练的能力或实践能力；</w:t>
      </w:r>
    </w:p>
    <w:p w14:paraId="5AD52D2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（9）掌握老年常见慢性疾病的健康照护知识，具备为老年人提供常见慢性病整体照护并能运用智慧养老设备及系统协助完成健康监测及照护的能力或实践能力；</w:t>
      </w:r>
    </w:p>
    <w:p w14:paraId="27E73F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（10）掌握老年人心理特点、老年心理评估方法与辅疗技巧、常见心理健康问题等心理护理知识，具备初步为老年人进行心理健康评估、心理辅疗服务的能力或实践能力；</w:t>
      </w:r>
    </w:p>
    <w:p w14:paraId="059EEE09">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（11）掌握活动策划方案写作、策划组织与实施、活动创意设计等知识，具备策划、组织与实施、设计各类老年活动的能力或实践能力；</w:t>
      </w:r>
    </w:p>
    <w:p w14:paraId="605ADE73">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（12）掌握养老机构的论证、申报、审批及备案、运营管理等知识，具备养老设施筹建、业务及运营管理并熟练运用智能化设施设备及信息平台进行管理的能力或实践能力；</w:t>
      </w:r>
    </w:p>
    <w:p w14:paraId="58E347A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（13）掌握社区居家养老基础设施选址设计、标准化建设、智慧化管理、风险管理等知识，能进行社区居家养老管理并熟练运用智能化设施设备及信息平台进行管理的能力或实践能力；</w:t>
      </w:r>
    </w:p>
    <w:p w14:paraId="2176846C">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（14）掌握信息技术基础知识，具有适应本行业数字化和智能化发展需求的数字技能；</w:t>
      </w:r>
    </w:p>
    <w:p w14:paraId="64A3A99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（15）具有探究学习、终身学习和可持续发展的能力，具有整合知识和综合运用知识分析问题和解决问题的能力；</w:t>
      </w:r>
    </w:p>
    <w:p w14:paraId="350EC0B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（16）掌握身体运动的基本知识和至少1项体育运动技能，达到国家大学生体质健康测试合格标准，养成良好的运动习惯、卫生习惯和行为习惯；具备一定的心理调适能力；</w:t>
      </w:r>
    </w:p>
    <w:p w14:paraId="787A4F0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（17）掌握必备的美育知识，具有一定的文化修养、审美能力，形成至少1项艺术特长或爱好；</w:t>
      </w:r>
    </w:p>
    <w:p w14:paraId="56D99633">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（18）树立正确的劳动观，尊重劳动，热爱劳动，具备与本专业职业发展相适应的劳动素养，弘扬劳模精神、劳动精神、工匠精神，弘扬劳动光荣、技能宝贵、创造伟大的时代风尚。</w:t>
      </w:r>
    </w:p>
    <w:p w14:paraId="2B2839CE">
      <w:pPr>
        <w:overflowPunct w:val="0"/>
        <w:adjustRightInd w:val="0"/>
        <w:ind w:firstLine="640" w:firstLineChars="200"/>
        <w:rPr>
          <w:rFonts w:eastAsia="黑体"/>
          <w:szCs w:val="32"/>
        </w:rPr>
      </w:pPr>
      <w:r>
        <w:rPr>
          <w:rFonts w:hint="eastAsia" w:eastAsia="黑体"/>
          <w:szCs w:val="32"/>
        </w:rPr>
        <w:t>六、课程设置及要求</w:t>
      </w:r>
    </w:p>
    <w:p w14:paraId="1C3F87E5">
      <w:pPr>
        <w:ind w:firstLine="643" w:firstLineChars="200"/>
        <w:rPr>
          <w:rFonts w:ascii="楷体_GB2312" w:hAnsi="楷体_GB2312" w:eastAsia="楷体_GB2312" w:cs="楷体_GB2312"/>
          <w:b/>
          <w:bCs/>
        </w:rPr>
      </w:pPr>
      <w:r>
        <w:rPr>
          <w:rFonts w:hint="eastAsia" w:ascii="楷体_GB2312" w:hAnsi="楷体_GB2312" w:eastAsia="楷体_GB2312" w:cs="楷体_GB2312"/>
          <w:b/>
          <w:bCs/>
        </w:rPr>
        <w:t>（一）公共基础课程</w:t>
      </w:r>
    </w:p>
    <w:p w14:paraId="3C2C2EC4">
      <w:pPr>
        <w:ind w:firstLine="640" w:firstLineChars="200"/>
        <w:rPr>
          <w:rFonts w:ascii="仿宋_GB2312"/>
        </w:rPr>
      </w:pPr>
      <w:r>
        <w:rPr>
          <w:rFonts w:hint="eastAsia" w:ascii="仿宋_GB2312"/>
        </w:rPr>
        <w:t>本专业开设《中国特色社会主义》、《心理健康与职业生涯》、《职业道德与法律》、《哲学与人生》、《语文》、《数学》、《公共英语》、《计算机应用基础》、《体育》、《历史》(中国历史)</w:t>
      </w:r>
      <w:r>
        <w:rPr>
          <w:rFonts w:hint="eastAsia" w:ascii="仿宋_GB2312"/>
        </w:rPr>
        <w:t>、《历史</w:t>
      </w:r>
      <w:r>
        <w:rPr>
          <w:rFonts w:hint="eastAsia" w:ascii="仿宋_GB2312"/>
        </w:rPr>
        <w:t>》</w:t>
      </w:r>
      <w:r>
        <w:rPr>
          <w:rFonts w:hint="eastAsia" w:ascii="仿宋_GB2312"/>
          <w:lang w:eastAsia="zh-CN"/>
        </w:rPr>
        <w:t>、</w:t>
      </w:r>
      <w:r>
        <w:rPr>
          <w:rFonts w:hint="eastAsia" w:ascii="仿宋_GB2312"/>
        </w:rPr>
        <w:t>（世界历史</w:t>
      </w:r>
      <w:r>
        <w:rPr>
          <w:rFonts w:hint="eastAsia" w:ascii="仿宋_GB2312"/>
        </w:rPr>
        <w:t>）、《入学教育与军训</w:t>
      </w:r>
      <w:r>
        <w:rPr>
          <w:rFonts w:hint="eastAsia" w:ascii="仿宋_GB2312"/>
        </w:rPr>
        <w:t>》、《劳动教育》</w:t>
      </w:r>
      <w:r>
        <w:rPr>
          <w:rFonts w:hint="eastAsia" w:ascii="仿宋_GB2312"/>
          <w:lang w:eastAsia="zh-CN"/>
        </w:rPr>
        <w:t>、</w:t>
      </w:r>
      <w:r>
        <w:rPr>
          <w:rFonts w:hint="eastAsia" w:ascii="仿宋_GB2312"/>
        </w:rPr>
        <w:t>《思想道德与法治》、《毛泽东思想和中国特色社会主义理论体系概论》、《习近平新时代中国特色社会主义思想概论》、《形势与政策》、《体育与健康》、《心理健康教育》、《职业规划与就业指导》、《高职英语》、《信息技术》、《创业基础》、《劳动教育》、《大学生安全教育》、《应用写作》共26门公共基础必修课程。</w:t>
      </w:r>
    </w:p>
    <w:p w14:paraId="042F41CE">
      <w:pPr>
        <w:numPr>
          <w:ilvl w:val="0"/>
          <w:numId w:val="0"/>
        </w:numPr>
        <w:overflowPunct w:val="0"/>
        <w:adjustRightInd w:val="0"/>
        <w:rPr>
          <w:rFonts w:ascii="仿宋_GB2312"/>
          <w:b/>
          <w:bCs/>
        </w:rPr>
      </w:pPr>
      <w:r>
        <w:rPr>
          <w:rFonts w:hint="eastAsia" w:ascii="仿宋_GB2312"/>
          <w:b/>
          <w:bCs/>
          <w:lang w:val="en-US" w:eastAsia="zh-CN"/>
        </w:rPr>
        <w:t>1.</w:t>
      </w:r>
      <w:r>
        <w:rPr>
          <w:rFonts w:hint="eastAsia" w:ascii="仿宋_GB2312"/>
          <w:b/>
          <w:bCs/>
        </w:rPr>
        <w:t>公共必修课</w:t>
      </w:r>
    </w:p>
    <w:p w14:paraId="1F372A14">
      <w:pPr>
        <w:overflowPunct w:val="0"/>
        <w:adjustRightInd w:val="0"/>
        <w:ind w:firstLine="640" w:firstLineChars="200"/>
        <w:rPr>
          <w:rFonts w:ascii="仿宋_GB2312"/>
        </w:rPr>
      </w:pPr>
      <w:r>
        <w:rPr>
          <w:rFonts w:hint="eastAsia" w:ascii="仿宋_GB2312"/>
        </w:rPr>
        <w:t>（1）中国特色社会主义（36学时，2学分）</w:t>
      </w:r>
    </w:p>
    <w:p w14:paraId="4F6219FB">
      <w:pPr>
        <w:overflowPunct w:val="0"/>
        <w:adjustRightInd w:val="0"/>
        <w:ind w:firstLine="640" w:firstLineChars="200"/>
        <w:rPr>
          <w:rFonts w:ascii="仿宋_GB2312"/>
        </w:rPr>
      </w:pPr>
      <w:r>
        <w:rPr>
          <w:rFonts w:hint="eastAsia" w:ascii="仿宋_GB2312"/>
        </w:rPr>
        <w:t>本课程是一门公共基础必修课程，增进学生的政治认同，主要为坚持马克思主义世界观和方法论，领会中国特色社会主义理论体系，特别是习近平新时代中国特色社会主义思想，增进对伟大祖国、中华民族、中华文化、中国共产党、中国特色社会主义认同，坚持社会主义核心价值体系，自觉培养和践行社会主义核心价值观。正确认识我国发展新的历史方位和社会主要矛盾变化，理解习近平新时代中国特色社会主义思想是党和国家必须长期坚持的指导思想。理解新时代中国共产党的历史使命。热爱祖国，树立远大志向。学习中国特</w:t>
      </w:r>
      <w:r>
        <w:rPr>
          <w:rFonts w:hint="eastAsia" w:ascii="仿宋_GB2312"/>
          <w:lang w:val="en-US" w:eastAsia="zh-CN"/>
        </w:rPr>
        <w:t>色社会主义的创立、</w:t>
      </w:r>
      <w:r>
        <w:rPr>
          <w:rFonts w:hint="eastAsia" w:ascii="仿宋_GB2312"/>
        </w:rPr>
        <w:t>发展和完善、经济与政治、文化建设与生态文明建设。</w:t>
      </w:r>
    </w:p>
    <w:p w14:paraId="67449D59">
      <w:pPr>
        <w:overflowPunct w:val="0"/>
        <w:adjustRightInd w:val="0"/>
        <w:ind w:firstLine="640" w:firstLineChars="200"/>
        <w:rPr>
          <w:rFonts w:ascii="仿宋_GB2312"/>
        </w:rPr>
      </w:pPr>
      <w:r>
        <w:rPr>
          <w:rFonts w:hint="eastAsia" w:ascii="仿宋_GB2312"/>
        </w:rPr>
        <w:t>（2）心理健康与职业生涯（36学时，2学分）</w:t>
      </w:r>
    </w:p>
    <w:p w14:paraId="013E7EFE">
      <w:pPr>
        <w:overflowPunct w:val="0"/>
        <w:adjustRightInd w:val="0"/>
        <w:ind w:firstLine="640" w:firstLineChars="200"/>
        <w:rPr>
          <w:rFonts w:ascii="仿宋_GB2312"/>
        </w:rPr>
      </w:pPr>
      <w:r>
        <w:rPr>
          <w:rFonts w:hint="eastAsia" w:ascii="仿宋_GB2312"/>
        </w:rPr>
        <w:t>本课程是一门公共基础必修课程，主要围绕适应能力、心理与心理健康、自我认识、网络与学习、人际交往、恋爱心理、情绪管理等内容开展专题教学活动。立足专业，谋划发展，和谐交往，快乐生活，规划生涯。提升学生心理保健的意识，培养学生自我认知，健全人格，增强学生调节情绪、应对挫折的能力。掌握与人沟通的技巧，形成健康的心理品质，提高心理健康水平。具有积极劳动态度和良好劳动习惯，具有正确职业理想、科学职业观念、良好职业道德和职业行为。</w:t>
      </w:r>
    </w:p>
    <w:p w14:paraId="1DF00499">
      <w:pPr>
        <w:overflowPunct w:val="0"/>
        <w:adjustRightInd w:val="0"/>
        <w:ind w:firstLine="640" w:firstLineChars="200"/>
        <w:rPr>
          <w:rFonts w:ascii="仿宋_GB2312"/>
        </w:rPr>
      </w:pPr>
      <w:r>
        <w:rPr>
          <w:rFonts w:hint="eastAsia" w:ascii="仿宋_GB2312"/>
        </w:rPr>
        <w:t>（3）职业道德与法律（36学时，2学分）</w:t>
      </w:r>
    </w:p>
    <w:p w14:paraId="6EB4611C">
      <w:pPr>
        <w:overflowPunct w:val="0"/>
        <w:adjustRightInd w:val="0"/>
        <w:ind w:firstLine="640" w:firstLineChars="200"/>
        <w:rPr>
          <w:rFonts w:ascii="仿宋_GB2312"/>
        </w:rPr>
      </w:pPr>
      <w:r>
        <w:rPr>
          <w:rFonts w:hint="eastAsia" w:ascii="仿宋_GB2312"/>
        </w:rPr>
        <w:t>本课程是一门公共基础必修课程，人无信不立，诚实守信是中华民族千百年来的传承美德，是为人处世的基本准则，也是大学生步入社会从事某项职业的立足点。职业道德与法律可以帮助学生树立敬业精神、合作精神。使学生具备责任意识以及法律意识。</w:t>
      </w:r>
    </w:p>
    <w:p w14:paraId="6BD6C03A">
      <w:pPr>
        <w:overflowPunct w:val="0"/>
        <w:adjustRightInd w:val="0"/>
        <w:ind w:firstLine="640" w:firstLineChars="200"/>
        <w:rPr>
          <w:rFonts w:ascii="仿宋_GB2312"/>
        </w:rPr>
      </w:pPr>
      <w:r>
        <w:rPr>
          <w:rFonts w:hint="eastAsia" w:ascii="仿宋_GB2312"/>
        </w:rPr>
        <w:t>（4）哲学与人生</w:t>
      </w:r>
    </w:p>
    <w:p w14:paraId="6A49AE0D">
      <w:pPr>
        <w:overflowPunct w:val="0"/>
        <w:adjustRightInd w:val="0"/>
        <w:ind w:firstLine="640" w:firstLineChars="200"/>
        <w:rPr>
          <w:rFonts w:ascii="仿宋_GB2312"/>
        </w:rPr>
      </w:pPr>
      <w:r>
        <w:rPr>
          <w:rFonts w:hint="eastAsia" w:ascii="仿宋_GB2312"/>
        </w:rPr>
        <w:t>本课程是一门公共基础必修课程，课程旨在让学生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能坚持从客观实际出发，脚踏实地走好人生路。</w:t>
      </w:r>
    </w:p>
    <w:p w14:paraId="276065B5">
      <w:pPr>
        <w:overflowPunct w:val="0"/>
        <w:adjustRightInd w:val="0"/>
        <w:ind w:firstLine="640" w:firstLineChars="200"/>
        <w:rPr>
          <w:rFonts w:ascii="仿宋_GB2312"/>
        </w:rPr>
      </w:pPr>
      <w:r>
        <w:rPr>
          <w:rFonts w:hint="eastAsia" w:ascii="仿宋_GB2312"/>
        </w:rPr>
        <w:t>（5）语文（180学时，12学分）</w:t>
      </w:r>
    </w:p>
    <w:p w14:paraId="7E341F25">
      <w:pPr>
        <w:overflowPunct w:val="0"/>
        <w:adjustRightInd w:val="0"/>
        <w:ind w:firstLine="640" w:firstLineChars="200"/>
        <w:rPr>
          <w:rFonts w:ascii="仿宋_GB2312"/>
        </w:rPr>
      </w:pPr>
      <w:r>
        <w:rPr>
          <w:rFonts w:hint="eastAsia" w:ascii="仿宋_GB2312"/>
        </w:rPr>
        <w:t>本课程是一门公共基础必修课程，课程旨在引导学生根据真实的语言运用情境，开展自主的言语实践活动，积累言语经验，把握祖国语言文字的特点和运用规律，提高运用祖国语言文字的能力，理解与热爱祖国语言文字，发展思维能力，提升思维品质，培养健康的审美情趣，积累丰厚的文化底蕴，培育和践行社会主义核心价值观，增强文化自信。语文课程对于全面贯彻党的教育方针，落实立德树人根本任务，发展素质教育，推进教育公平，培养德智体美劳全面发展的社会主义建设者和接班人具有重要作用。课程在义务教育的基础上，进一步培养学生掌握基础知识和基本技能，强化关键能力，使学生具有较强的语言文字运用能力、思维能力和审美能力，传承和弘扬中华优秀文化，接受人类进步文化，汲取人类文明优秀成果，形成良好的思想道德品质、科学素养和人文素养，为学生学好专业知识与技能，提高就业创业能力和终身发展能力，成为全面发展的高素质劳动者和技术技能人才奠定基础。</w:t>
      </w:r>
    </w:p>
    <w:p w14:paraId="439EE529">
      <w:pPr>
        <w:overflowPunct w:val="0"/>
        <w:adjustRightInd w:val="0"/>
        <w:ind w:firstLine="640" w:firstLineChars="200"/>
        <w:rPr>
          <w:rFonts w:ascii="仿宋_GB2312"/>
        </w:rPr>
      </w:pPr>
      <w:r>
        <w:rPr>
          <w:rFonts w:hint="eastAsia" w:ascii="仿宋_GB2312"/>
        </w:rPr>
        <w:t>（6）数学（116学时，8学分）</w:t>
      </w:r>
    </w:p>
    <w:p w14:paraId="308C102D">
      <w:pPr>
        <w:overflowPunct w:val="0"/>
        <w:adjustRightInd w:val="0"/>
        <w:ind w:firstLine="640" w:firstLineChars="200"/>
        <w:rPr>
          <w:rFonts w:ascii="仿宋_GB2312"/>
        </w:rPr>
      </w:pPr>
      <w:r>
        <w:rPr>
          <w:rFonts w:hint="eastAsia" w:ascii="仿宋_GB2312"/>
        </w:rPr>
        <w:t>本课程是一门公共基础必修课程，主要包括：集合与函数，数列、三角函数、平面向量、平面解析几何、立体几何、导数与微分、不定积分与定积分等基本基础知识。在初中数学学习的基础上，进一步系统地学习和掌握初等数学的基本知识、基础理论和基本方法，具备正确、熟练的基本运算能力和逻辑思维能力，及运用数学方法分析和解决实际问题的能力，引导学生在生活实践中使用数学，在其他课程中应用数学，增强运用数学方法、借助计算机来分析和解决实际问题的能力；同时发展学生的创新意识和科学的思维方法，进一步树立科学的世界观和培养严谨求实的科学态度。</w:t>
      </w:r>
    </w:p>
    <w:p w14:paraId="5499587C">
      <w:pPr>
        <w:overflowPunct w:val="0"/>
        <w:adjustRightInd w:val="0"/>
        <w:ind w:firstLine="640" w:firstLineChars="200"/>
        <w:rPr>
          <w:rFonts w:ascii="仿宋_GB2312"/>
        </w:rPr>
      </w:pPr>
      <w:r>
        <w:rPr>
          <w:rFonts w:hint="eastAsia" w:ascii="仿宋_GB2312"/>
        </w:rPr>
        <w:t>（7）公共英语（244学时，16学分）</w:t>
      </w:r>
    </w:p>
    <w:p w14:paraId="0AD12B99">
      <w:pPr>
        <w:overflowPunct w:val="0"/>
        <w:adjustRightInd w:val="0"/>
        <w:ind w:firstLine="640" w:firstLineChars="200"/>
        <w:rPr>
          <w:rFonts w:ascii="仿宋_GB2312"/>
        </w:rPr>
      </w:pPr>
      <w:r>
        <w:rPr>
          <w:rFonts w:hint="eastAsia" w:ascii="仿宋_GB2312"/>
        </w:rPr>
        <w:t>本课程是一门公共基础必修课程，由基础和拓展两部分组成。基础部分为全体中等职业学校学生必修内容，学生完成基础部分内容的学习并达到相应的要求，其语言能力可为专业英语学习打下良好的基础，并满足其职业发展对英语的基本需求；拓展部分是为学有余力或有继续学习需要的学生设置的选修内容，学生完成拓展部分内容的学习并达到相应的要求，其语言能力能满足其今后工作、学习和生活对英语的基本需求，并为其可持续发展和终身学习奠定较扎实的基础。通过英语学习和实践，使学生具备：语言和文化基础知识、基本技能；基本的语言运用能力；较为有效的学习策略；学习兴趣和自信心；基本的人文素养。学生在教师指导和任务驱动下通过感知、体验、实践、参与、合作等方式选择、获取知识，掌握基本语言技能，提高语言运用能力，培养合作意识，并在一定程度上增强分析和归纳问题的思维能力。</w:t>
      </w:r>
    </w:p>
    <w:p w14:paraId="05ABD64D">
      <w:pPr>
        <w:overflowPunct w:val="0"/>
        <w:adjustRightInd w:val="0"/>
        <w:ind w:firstLine="640" w:firstLineChars="200"/>
        <w:rPr>
          <w:rFonts w:ascii="仿宋_GB2312"/>
        </w:rPr>
      </w:pPr>
      <w:r>
        <w:rPr>
          <w:rFonts w:hint="eastAsia" w:ascii="仿宋_GB2312"/>
        </w:rPr>
        <w:t>（8）计算机应用基础（108学时，6学分）</w:t>
      </w:r>
    </w:p>
    <w:p w14:paraId="05BDA6E1">
      <w:pPr>
        <w:overflowPunct w:val="0"/>
        <w:adjustRightInd w:val="0"/>
        <w:ind w:firstLine="640" w:firstLineChars="200"/>
        <w:rPr>
          <w:rFonts w:ascii="仿宋_GB2312"/>
        </w:rPr>
      </w:pPr>
      <w:r>
        <w:rPr>
          <w:rFonts w:hint="eastAsia" w:ascii="仿宋_GB2312"/>
        </w:rPr>
        <w:t>本课程是一门公共基础必修课程，该课程为计算机专业类学生提供计算机一般应用所必需的基础知识、能力和素质的课程，内容丰富，与时俱进，实用性强，为学生今后电脑办公与信息化应用打下良好的基础。</w:t>
      </w:r>
    </w:p>
    <w:p w14:paraId="47F562AE">
      <w:pPr>
        <w:overflowPunct w:val="0"/>
        <w:adjustRightInd w:val="0"/>
        <w:ind w:firstLine="640" w:firstLineChars="200"/>
        <w:rPr>
          <w:rFonts w:ascii="仿宋_GB2312"/>
        </w:rPr>
      </w:pPr>
      <w:r>
        <w:rPr>
          <w:rFonts w:hint="eastAsia" w:ascii="仿宋_GB2312"/>
        </w:rPr>
        <w:t>（9）体育（186学时，12学分）</w:t>
      </w:r>
    </w:p>
    <w:p w14:paraId="737BD958">
      <w:pPr>
        <w:overflowPunct w:val="0"/>
        <w:adjustRightInd w:val="0"/>
        <w:ind w:firstLine="640" w:firstLineChars="200"/>
        <w:rPr>
          <w:rFonts w:hint="eastAsia" w:ascii="仿宋_GB2312"/>
        </w:rPr>
      </w:pPr>
      <w:r>
        <w:rPr>
          <w:rFonts w:hint="eastAsia" w:ascii="仿宋_GB2312"/>
        </w:rPr>
        <w:t>本课程是一门公共基础必修课程，以学生身体的运动参与为主要手段，以增强学生身体素质、增进学生健康为主要目的一门人文素养类课程。该课程主要培养学生的运动技术和技能，培养学生终身参与体育锻炼的意识，培养良好的团结精神和协作意识。通过学习本课程学生能够初步掌握身体锻炼的基本原理和常用方法，学生的身体素质得到针对性地锻炼和提升，学生能够掌握1—2个运动项目的基础运动技术和技能，学生的团队精神和协作意识逐步加强，学生初步形成终身参与体育运动的意识和能力。</w:t>
      </w:r>
    </w:p>
    <w:p w14:paraId="746B5FF2">
      <w:pPr>
        <w:overflowPunct w:val="0"/>
        <w:adjustRightInd w:val="0"/>
        <w:ind w:firstLine="640" w:firstLineChars="200"/>
        <w:rPr>
          <w:rFonts w:ascii="仿宋_GB2312"/>
        </w:rPr>
      </w:pPr>
      <w:r>
        <w:rPr>
          <w:rFonts w:hint="eastAsia" w:ascii="仿宋_GB2312"/>
        </w:rPr>
        <w:t>（10）历史（72学时，4学分）</w:t>
      </w:r>
    </w:p>
    <w:p w14:paraId="17F71C93">
      <w:pPr>
        <w:overflowPunct w:val="0"/>
        <w:adjustRightInd w:val="0"/>
        <w:ind w:firstLine="640" w:firstLineChars="200"/>
        <w:rPr>
          <w:rFonts w:ascii="仿宋_GB2312"/>
        </w:rPr>
      </w:pPr>
      <w:r>
        <w:rPr>
          <w:rFonts w:hint="eastAsia" w:ascii="仿宋_GB2312"/>
        </w:rPr>
        <w:t>本课程是一门公共基础必修课程，主要包括“中国历史”和“世界历史”。基础模块I“中国历史”内容包括中国古代史、中国近代史和中国现代史。基础模块Ⅱ“世界历史”内容包括世界古代史、世界近代史和世界现代史。通过历史课程学习，扩大掌握历史知识的范围，深入地了解历史发展的基本线索；对历史唯物主义的基本理论和方法有所了解，初步认识人类社会发展的基本规律，学会运用科学的理论和方法认识历史和现实问题，逐步形成科学的世界观和历史观；树立不断完善自我、为祖国社会主义现代化建设做贡献和关注民族与人类命运的人生理想。</w:t>
      </w:r>
    </w:p>
    <w:p w14:paraId="3F1BD99B">
      <w:pPr>
        <w:overflowPunct w:val="0"/>
        <w:adjustRightInd w:val="0"/>
        <w:ind w:firstLine="640" w:firstLineChars="200"/>
        <w:rPr>
          <w:rFonts w:ascii="仿宋_GB2312"/>
        </w:rPr>
      </w:pPr>
      <w:r>
        <w:rPr>
          <w:rFonts w:hint="eastAsia" w:ascii="仿宋_GB2312"/>
        </w:rPr>
        <w:t>（11）入学教育与军训</w:t>
      </w:r>
    </w:p>
    <w:p w14:paraId="57185752">
      <w:pPr>
        <w:overflowPunct w:val="0"/>
        <w:adjustRightInd w:val="0"/>
        <w:ind w:firstLine="640" w:firstLineChars="200"/>
      </w:pPr>
      <w:r>
        <w:rPr>
          <w:rFonts w:hint="eastAsia" w:ascii="仿宋_GB2312"/>
        </w:rPr>
        <w:t>军事理论课</w:t>
      </w:r>
      <w:r>
        <w:rPr>
          <w:rFonts w:ascii="仿宋_GB2312"/>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t>通过</w:t>
      </w:r>
      <w:r>
        <w:rPr>
          <w:rFonts w:hint="eastAsia"/>
        </w:rPr>
        <w:t>军事理论</w:t>
      </w:r>
      <w:r>
        <w:t>课教学，让学生了解掌握军事基础知识和基本军事技能，增强国防观念、国家安全意识和忧患危机意识，弘扬爱国主义精神、传承红色基因、提高学生综合国防素质。</w:t>
      </w:r>
    </w:p>
    <w:p w14:paraId="732D2BE2">
      <w:pPr>
        <w:numPr>
          <w:ilvl w:val="0"/>
          <w:numId w:val="1"/>
        </w:numPr>
        <w:overflowPunct w:val="0"/>
        <w:adjustRightInd w:val="0"/>
        <w:ind w:firstLine="640" w:firstLineChars="200"/>
      </w:pPr>
      <w:r>
        <w:rPr>
          <w:rFonts w:hint="eastAsia"/>
        </w:rPr>
        <w:t>劳动教育</w:t>
      </w:r>
      <w:r>
        <w:rPr>
          <w:rFonts w:hint="eastAsia" w:ascii="仿宋_GB2312"/>
        </w:rPr>
        <w:t>(</w:t>
      </w:r>
      <w:r>
        <w:rPr>
          <w:rFonts w:hint="eastAsia" w:ascii="仿宋_GB2312"/>
          <w:szCs w:val="32"/>
        </w:rPr>
        <w:t>16学时，1学分)</w:t>
      </w:r>
    </w:p>
    <w:p w14:paraId="1B6BD0F1">
      <w:pPr>
        <w:overflowPunct w:val="0"/>
        <w:adjustRightInd w:val="0"/>
        <w:ind w:firstLine="640" w:firstLineChars="200"/>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184DD84E">
      <w:pPr>
        <w:overflowPunct w:val="0"/>
        <w:adjustRightInd w:val="0"/>
        <w:ind w:firstLine="640" w:firstLineChars="200"/>
        <w:rPr>
          <w:rFonts w:ascii="仿宋_GB2312"/>
        </w:rPr>
      </w:pPr>
      <w:r>
        <w:rPr>
          <w:rFonts w:hint="eastAsia" w:ascii="仿宋_GB2312"/>
        </w:rPr>
        <w:t>（13）思想道德与法治(48学时、3学分)</w:t>
      </w:r>
    </w:p>
    <w:p w14:paraId="08A59D00">
      <w:pPr>
        <w:overflowPunct w:val="0"/>
        <w:adjustRightInd w:val="0"/>
        <w:ind w:firstLine="640" w:firstLineChars="200"/>
        <w:rPr>
          <w:rFonts w:ascii="仿宋_GB2312"/>
        </w:rPr>
      </w:pPr>
      <w:r>
        <w:rPr>
          <w:rFonts w:hint="eastAsia" w:ascii="仿宋_GB2312"/>
        </w:rPr>
        <w:t>本课程是一门公共基础必修课程，主要针对大学生成长过程中面临的思想道德和法治问题，开展马克思主义的世界观、人生观、价值观、道德观及法治观教育，引导大学生提升思想道德素质和法治素养。</w:t>
      </w:r>
    </w:p>
    <w:p w14:paraId="55F2BEBD">
      <w:pPr>
        <w:overflowPunct w:val="0"/>
        <w:adjustRightInd w:val="0"/>
        <w:ind w:firstLine="640" w:firstLineChars="200"/>
        <w:rPr>
          <w:rFonts w:ascii="仿宋_GB2312"/>
        </w:rPr>
      </w:pPr>
      <w:r>
        <w:rPr>
          <w:rFonts w:hint="eastAsia" w:ascii="仿宋_GB2312"/>
        </w:rPr>
        <w:t>（14）毛泽东思想和中国特色社会主义理论体系概论(32学时、2学分)</w:t>
      </w:r>
    </w:p>
    <w:p w14:paraId="4C49A13C">
      <w:pPr>
        <w:ind w:firstLine="640" w:firstLineChars="200"/>
        <w:rPr>
          <w:rFonts w:ascii="仿宋_GB2312"/>
        </w:rPr>
      </w:pPr>
      <w:r>
        <w:rPr>
          <w:rFonts w:hint="eastAsia" w:ascii="仿宋_GB2312"/>
        </w:rPr>
        <w:t>本课程是一门公共基础必修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602F5A32">
      <w:pPr>
        <w:overflowPunct w:val="0"/>
        <w:adjustRightInd w:val="0"/>
        <w:ind w:firstLine="640" w:firstLineChars="200"/>
        <w:rPr>
          <w:rFonts w:ascii="仿宋_GB2312"/>
        </w:rPr>
      </w:pPr>
      <w:r>
        <w:rPr>
          <w:rFonts w:hint="eastAsia" w:ascii="仿宋_GB2312"/>
        </w:rPr>
        <w:t>（15）形势与政策(16学时、1学分)</w:t>
      </w:r>
    </w:p>
    <w:p w14:paraId="27E32E08">
      <w:pPr>
        <w:overflowPunct w:val="0"/>
        <w:adjustRightInd w:val="0"/>
        <w:ind w:firstLine="640" w:firstLineChars="200"/>
        <w:rPr>
          <w:rFonts w:ascii="仿宋_GB2312"/>
        </w:rPr>
      </w:pPr>
      <w:r>
        <w:rPr>
          <w:rFonts w:hint="eastAsia" w:ascii="仿宋_GB2312"/>
        </w:rPr>
        <w:t>本课程是一门公共基础必修课程，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5B98B30C">
      <w:pPr>
        <w:overflowPunct w:val="0"/>
        <w:adjustRightInd w:val="0"/>
        <w:ind w:firstLine="640" w:firstLineChars="200"/>
        <w:rPr>
          <w:rFonts w:ascii="仿宋_GB2312"/>
        </w:rPr>
      </w:pPr>
      <w:r>
        <w:rPr>
          <w:rFonts w:hint="eastAsia" w:ascii="仿宋_GB2312"/>
        </w:rPr>
        <w:t>（16）习近平新时代中国特色社会主义思想概论（48学时、3学分）</w:t>
      </w:r>
    </w:p>
    <w:p w14:paraId="31394E6F">
      <w:pPr>
        <w:overflowPunct w:val="0"/>
        <w:adjustRightInd w:val="0"/>
        <w:ind w:firstLine="640" w:firstLineChars="200"/>
        <w:rPr>
          <w:rFonts w:ascii="仿宋_GB2312"/>
        </w:rPr>
      </w:pPr>
      <w:r>
        <w:rPr>
          <w:rFonts w:hint="eastAsia" w:ascii="仿宋_GB2312"/>
        </w:rPr>
        <w:t>本课程是一门公共基础必修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48DEE021">
      <w:pPr>
        <w:overflowPunct w:val="0"/>
        <w:adjustRightInd w:val="0"/>
        <w:ind w:firstLine="640" w:firstLineChars="200"/>
        <w:rPr>
          <w:rFonts w:ascii="仿宋_GB2312"/>
        </w:rPr>
      </w:pPr>
      <w:r>
        <w:rPr>
          <w:rFonts w:hint="eastAsia" w:ascii="仿宋_GB2312"/>
        </w:rPr>
        <w:t>（17）高职英语(96学时、6学分)</w:t>
      </w:r>
    </w:p>
    <w:p w14:paraId="6826197C">
      <w:pPr>
        <w:overflowPunct w:val="0"/>
        <w:adjustRightInd w:val="0"/>
        <w:ind w:firstLine="640" w:firstLineChars="200"/>
        <w:rPr>
          <w:rFonts w:ascii="仿宋_GB2312"/>
        </w:rPr>
      </w:pPr>
      <w:r>
        <w:rPr>
          <w:rFonts w:hint="eastAsia" w:ascii="仿宋_GB2312"/>
        </w:rPr>
        <w:t>本课程是一门公共基础必修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E972145">
      <w:pPr>
        <w:overflowPunct w:val="0"/>
        <w:adjustRightInd w:val="0"/>
        <w:ind w:firstLine="640" w:firstLineChars="200"/>
        <w:rPr>
          <w:rFonts w:ascii="仿宋_GB2312"/>
        </w:rPr>
      </w:pPr>
      <w:r>
        <w:rPr>
          <w:rFonts w:hint="eastAsia" w:ascii="仿宋_GB2312"/>
        </w:rPr>
        <w:t>（18）信息技术(48学时、3学分)</w:t>
      </w:r>
    </w:p>
    <w:p w14:paraId="64793CCE">
      <w:pPr>
        <w:overflowPunct w:val="0"/>
        <w:adjustRightInd w:val="0"/>
        <w:ind w:firstLine="640" w:firstLineChars="200"/>
        <w:rPr>
          <w:rFonts w:ascii="仿宋_GB2312"/>
        </w:rPr>
      </w:pPr>
      <w:r>
        <w:rPr>
          <w:rFonts w:hint="eastAsia" w:ascii="仿宋_GB2312"/>
        </w:rPr>
        <w:t>本课程是一门公共基础必修课程，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1777CBD9">
      <w:pPr>
        <w:overflowPunct w:val="0"/>
        <w:adjustRightInd w:val="0"/>
        <w:ind w:firstLine="640" w:firstLineChars="200"/>
        <w:rPr>
          <w:rFonts w:ascii="仿宋_GB2312"/>
        </w:rPr>
      </w:pPr>
      <w:r>
        <w:rPr>
          <w:rFonts w:hint="eastAsia" w:ascii="仿宋_GB2312"/>
        </w:rPr>
        <w:t>（19）体育与健康(112学时、6学分)</w:t>
      </w:r>
    </w:p>
    <w:p w14:paraId="5EDE6AE2">
      <w:pPr>
        <w:overflowPunct w:val="0"/>
        <w:adjustRightInd w:val="0"/>
        <w:ind w:firstLine="640" w:firstLineChars="200"/>
        <w:rPr>
          <w:rFonts w:ascii="仿宋_GB2312"/>
        </w:rPr>
      </w:pPr>
      <w:r>
        <w:rPr>
          <w:rFonts w:hint="eastAsia" w:ascii="仿宋_GB2312"/>
        </w:rPr>
        <w:t>本课程是一门公共基础必修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0E3194CD">
      <w:pPr>
        <w:overflowPunct w:val="0"/>
        <w:adjustRightInd w:val="0"/>
        <w:ind w:firstLine="640" w:firstLineChars="200"/>
        <w:rPr>
          <w:rFonts w:ascii="仿宋_GB2312"/>
        </w:rPr>
      </w:pPr>
      <w:r>
        <w:rPr>
          <w:rFonts w:hint="eastAsia" w:ascii="仿宋_GB2312"/>
        </w:rPr>
        <w:t>（20）应用写作(16学时、1学分)</w:t>
      </w:r>
    </w:p>
    <w:p w14:paraId="1B7E3BBA">
      <w:pPr>
        <w:overflowPunct w:val="0"/>
        <w:adjustRightInd w:val="0"/>
        <w:ind w:firstLine="640" w:firstLineChars="200"/>
      </w:pPr>
      <w:r>
        <w:rPr>
          <w:rFonts w:hint="eastAsia" w:ascii="仿宋_GB2312"/>
        </w:rPr>
        <w:t>本课程是一门公共基础必修课程，</w:t>
      </w:r>
      <w:r>
        <w:rPr>
          <w:rFonts w:hint="eastAsia"/>
        </w:rPr>
        <w:t>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51B11CCE">
      <w:pPr>
        <w:overflowPunct w:val="0"/>
        <w:adjustRightInd w:val="0"/>
        <w:ind w:firstLine="640" w:firstLineChars="200"/>
        <w:rPr>
          <w:rFonts w:ascii="仿宋_GB2312"/>
        </w:rPr>
      </w:pPr>
      <w:r>
        <w:rPr>
          <w:rFonts w:hint="eastAsia" w:ascii="仿宋_GB2312"/>
        </w:rPr>
        <w:t>（21）职业规划与就业指导(32学时、2学分)</w:t>
      </w:r>
    </w:p>
    <w:p w14:paraId="3C3E5C35">
      <w:pPr>
        <w:overflowPunct w:val="0"/>
        <w:adjustRightInd w:val="0"/>
        <w:ind w:firstLine="640" w:firstLineChars="200"/>
        <w:rPr>
          <w:rFonts w:ascii="仿宋_GB2312"/>
        </w:rPr>
      </w:pPr>
      <w:r>
        <w:rPr>
          <w:rFonts w:hint="eastAsia" w:ascii="仿宋_GB2312"/>
        </w:rPr>
        <w:t>本课程是一门公共基础必修课程，旨在帮助学生认识自我，了解职业，设定职业规划目标，并规划实施；做好求职准备，掌握简历撰写和面试技巧，找到合适的工作。</w:t>
      </w:r>
    </w:p>
    <w:p w14:paraId="3F9F48D3">
      <w:pPr>
        <w:overflowPunct w:val="0"/>
        <w:adjustRightInd w:val="0"/>
        <w:ind w:firstLine="640" w:firstLineChars="200"/>
        <w:rPr>
          <w:rFonts w:ascii="仿宋_GB2312"/>
        </w:rPr>
      </w:pPr>
      <w:r>
        <w:rPr>
          <w:rFonts w:hint="eastAsia" w:ascii="仿宋_GB2312"/>
        </w:rPr>
        <w:t>（22）创业基础(32学时、2学分)</w:t>
      </w:r>
    </w:p>
    <w:p w14:paraId="3BEB4B2C">
      <w:pPr>
        <w:overflowPunct w:val="0"/>
        <w:adjustRightInd w:val="0"/>
        <w:ind w:firstLine="640" w:firstLineChars="200"/>
        <w:rPr>
          <w:rFonts w:ascii="仿宋_GB2312"/>
        </w:rPr>
      </w:pPr>
      <w:r>
        <w:rPr>
          <w:rFonts w:hint="eastAsia" w:ascii="仿宋_GB2312"/>
        </w:rPr>
        <w:t>本课程是一门公共基础必修课程。旨在培养学生的创新思维，创业意识和创新创业能力。了解创办企业的流程和步骤，掌握企业经营的方法，具备创业知识和能力。</w:t>
      </w:r>
    </w:p>
    <w:p w14:paraId="78FC053D">
      <w:pPr>
        <w:overflowPunct w:val="0"/>
        <w:adjustRightInd w:val="0"/>
        <w:ind w:firstLine="640" w:firstLineChars="200"/>
        <w:rPr>
          <w:rFonts w:ascii="仿宋_GB2312"/>
        </w:rPr>
      </w:pPr>
      <w:r>
        <w:rPr>
          <w:rFonts w:hint="eastAsia" w:ascii="仿宋_GB2312"/>
        </w:rPr>
        <w:t>（23）心理健康教育(32学时、2学分)</w:t>
      </w:r>
    </w:p>
    <w:p w14:paraId="07A674A2">
      <w:pPr>
        <w:overflowPunct w:val="0"/>
        <w:adjustRightInd w:val="0"/>
        <w:ind w:firstLine="640" w:firstLineChars="200"/>
        <w:rPr>
          <w:rFonts w:ascii="仿宋_GB2312"/>
        </w:rPr>
      </w:pPr>
      <w:r>
        <w:rPr>
          <w:rFonts w:hint="eastAsia" w:ascii="仿宋_GB2312"/>
        </w:rPr>
        <w:t>本课程是一门公共基础必修课程，集知识传授、心理体验与行为训练为一体，以提高学生心理素质，塑造学生职业核心能力、提升学生未来社会适应能力为主旨，提升自我认知、人际沟通、自我调节、危机预防、创新思维等心理、职业核心能力。</w:t>
      </w:r>
    </w:p>
    <w:p w14:paraId="67026F43">
      <w:pPr>
        <w:overflowPunct w:val="0"/>
        <w:adjustRightInd w:val="0"/>
        <w:ind w:firstLine="640" w:firstLineChars="200"/>
        <w:rPr>
          <w:rFonts w:ascii="仿宋_GB2312"/>
        </w:rPr>
      </w:pPr>
      <w:r>
        <w:rPr>
          <w:rFonts w:hint="eastAsia" w:ascii="仿宋_GB2312"/>
        </w:rPr>
        <w:t>（24）大学生安全教育(60学时、1学分)</w:t>
      </w:r>
    </w:p>
    <w:p w14:paraId="728C8B40">
      <w:pPr>
        <w:ind w:firstLine="640" w:firstLineChars="200"/>
        <w:rPr>
          <w:rFonts w:ascii="仿宋_GB2312"/>
        </w:rPr>
      </w:pPr>
      <w:r>
        <w:rPr>
          <w:rFonts w:hint="eastAsia" w:ascii="仿宋_GB2312"/>
        </w:rPr>
        <w:t>本课程是一门公共基础必修课程，集知识传授、技能培养为一体，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实验实训安全等。</w:t>
      </w:r>
    </w:p>
    <w:p w14:paraId="3E2CA07A">
      <w:pPr>
        <w:ind w:firstLine="640" w:firstLineChars="200"/>
        <w:rPr>
          <w:rFonts w:ascii="仿宋_GB2312"/>
        </w:rPr>
      </w:pPr>
      <w:r>
        <w:rPr>
          <w:rFonts w:hint="eastAsia" w:ascii="仿宋_GB2312"/>
        </w:rPr>
        <w:t>（25）国家安全教育(16学时、1学分)</w:t>
      </w:r>
    </w:p>
    <w:p w14:paraId="6EE3E0E0">
      <w:pPr>
        <w:ind w:firstLine="640" w:firstLineChars="200"/>
        <w:rPr>
          <w:rFonts w:ascii="仿宋_GB2312"/>
        </w:rPr>
      </w:pPr>
      <w:r>
        <w:rPr>
          <w:rFonts w:hint="eastAsia" w:ascii="仿宋_GB2312"/>
        </w:rPr>
        <w:t>本课程是一门公共基础必修课程，集知识传授、能力培养为一体，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5CB5A1F1">
      <w:pPr>
        <w:pStyle w:val="22"/>
        <w:numPr>
          <w:ilvl w:val="0"/>
          <w:numId w:val="0"/>
        </w:numPr>
        <w:overflowPunct w:val="0"/>
        <w:adjustRightInd w:val="0"/>
        <w:rPr>
          <w:rFonts w:ascii="仿宋_GB2312"/>
          <w:b/>
          <w:bCs/>
        </w:rPr>
      </w:pPr>
      <w:r>
        <w:rPr>
          <w:rFonts w:hint="eastAsia" w:ascii="仿宋_GB2312"/>
          <w:b/>
          <w:bCs/>
          <w:lang w:val="en-US" w:eastAsia="zh-CN"/>
        </w:rPr>
        <w:t>2.</w:t>
      </w:r>
      <w:r>
        <w:rPr>
          <w:rFonts w:hint="eastAsia" w:ascii="仿宋_GB2312"/>
          <w:b/>
          <w:bCs/>
        </w:rPr>
        <w:t>公共选修课</w:t>
      </w:r>
    </w:p>
    <w:p w14:paraId="6AFCABA7">
      <w:pPr>
        <w:overflowPunct w:val="0"/>
        <w:adjustRightInd w:val="0"/>
        <w:ind w:firstLine="640" w:firstLineChars="200"/>
        <w:rPr>
          <w:rFonts w:ascii="仿宋_GB2312"/>
        </w:rPr>
      </w:pPr>
      <w:r>
        <w:rPr>
          <w:rFonts w:hint="eastAsia" w:ascii="仿宋_GB2312"/>
        </w:rPr>
        <w:t>（1）</w:t>
      </w:r>
      <w:r>
        <w:rPr>
          <w:rFonts w:hint="eastAsia" w:ascii="仿宋" w:hAnsi="仿宋" w:eastAsia="仿宋" w:cs="仿宋"/>
          <w:color w:val="000000"/>
          <w:kern w:val="0"/>
          <w:szCs w:val="32"/>
          <w:lang w:bidi="ar"/>
        </w:rPr>
        <w:t>美育</w:t>
      </w:r>
      <w:r>
        <w:rPr>
          <w:rFonts w:hint="eastAsia" w:ascii="仿宋_GB2312"/>
        </w:rPr>
        <w:t>(32学时、2学分)</w:t>
      </w:r>
    </w:p>
    <w:p w14:paraId="5272C97F">
      <w:pPr>
        <w:ind w:firstLine="640" w:firstLineChars="200"/>
        <w:rPr>
          <w:rFonts w:ascii="仿宋_GB2312"/>
        </w:rPr>
      </w:pPr>
      <w:r>
        <w:rPr>
          <w:rFonts w:hint="eastAsia" w:ascii="仿宋_GB2312"/>
        </w:rPr>
        <w:t>本课程是一门公共基础选修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1406C1D4">
      <w:pPr>
        <w:overflowPunct w:val="0"/>
        <w:adjustRightInd w:val="0"/>
        <w:ind w:firstLine="640" w:firstLineChars="200"/>
        <w:rPr>
          <w:rFonts w:ascii="仿宋_GB2312"/>
        </w:rPr>
      </w:pPr>
      <w:r>
        <w:rPr>
          <w:rFonts w:hint="eastAsia" w:ascii="仿宋_GB2312"/>
        </w:rPr>
        <w:t>（2）时间管理(16学时、1学分)</w:t>
      </w:r>
    </w:p>
    <w:p w14:paraId="3C4258EE">
      <w:pPr>
        <w:ind w:firstLine="640" w:firstLineChars="200"/>
        <w:rPr>
          <w:rFonts w:ascii="仿宋_GB2312"/>
        </w:rPr>
      </w:pPr>
      <w:r>
        <w:rPr>
          <w:rFonts w:hint="eastAsia" w:ascii="仿宋_GB2312"/>
        </w:rPr>
        <w:t xml:space="preserve">    本课程通过系统讲解沟通原理、语言表达技巧和非语言沟通方式，结合职场、社交等实际场景的模拟训练，帮助学生掌握有效倾听、清晰表达和化解冲突的实用技能，提升其人际交往能力和职业竞争力，为未来就业和个人发展奠定良好的沟通基础。课程注重实践性和应用性，培养学生成为善于沟通、懂得合作的高素质技术技能人才。</w:t>
      </w:r>
    </w:p>
    <w:p w14:paraId="6F460DCD">
      <w:pPr>
        <w:ind w:firstLine="640" w:firstLineChars="200"/>
        <w:rPr>
          <w:rFonts w:ascii="仿宋_GB2312"/>
        </w:rPr>
      </w:pPr>
      <w:r>
        <w:rPr>
          <w:rFonts w:hint="eastAsia" w:ascii="仿宋_GB2312"/>
        </w:rPr>
        <w:t>（3）沟通的艺术(16学时、1学分)</w:t>
      </w:r>
    </w:p>
    <w:p w14:paraId="38744249">
      <w:pPr>
        <w:ind w:firstLine="640" w:firstLineChars="200"/>
        <w:rPr>
          <w:rFonts w:ascii="仿宋_GB2312"/>
        </w:rPr>
      </w:pPr>
      <w:r>
        <w:rPr>
          <w:rFonts w:hint="eastAsia" w:ascii="仿宋_GB2312"/>
        </w:rPr>
        <w:t>本课程通过系统讲解时间规划原理、任务优先级划分和高效学习方法，结合学习生活与未来职场中的实际案例训练，帮助学生建立科学的时间观念，掌握目标设定、计划制定和效率提升的实用技巧，为其学业进步和职业发展奠定良好的自我管理基础，培养自律高效的专业技术人才。</w:t>
      </w:r>
    </w:p>
    <w:p w14:paraId="6E27535D">
      <w:pPr>
        <w:ind w:firstLine="640" w:firstLineChars="200"/>
        <w:rPr>
          <w:rFonts w:ascii="仿宋_GB2312"/>
        </w:rPr>
      </w:pPr>
      <w:r>
        <w:rPr>
          <w:rFonts w:hint="eastAsia" w:ascii="仿宋_GB2312"/>
        </w:rPr>
        <w:t>（4）中华优秀传统文化（16学时，1学分）</w:t>
      </w:r>
    </w:p>
    <w:p w14:paraId="20BEC49A">
      <w:pPr>
        <w:ind w:firstLine="640" w:firstLineChars="200"/>
        <w:rPr>
          <w:rFonts w:ascii="仿宋_GB2312"/>
        </w:rPr>
      </w:pPr>
      <w:r>
        <w:rPr>
          <w:rFonts w:hint="eastAsia" w:ascii="仿宋_GB2312"/>
        </w:rPr>
        <w:t>本课程是一门公共基础选修课程，综合性、系统性、实践性强较强，旨在对学生进行中华民族优秀传统文化的教育，培养其文化素养和思想觉悟，助推学生人文素养、职业素养和专业素养的全面发展。通过本课程的学习，学生将全面了解中国传统文化的历史背景、基本概念、思想体系和文化遗产等方面的知识。同时，本课程还将培养学生的文化自信和跨文化交流能力，提高其对于传统文化的认知和应用水平，以使其能够更好地胜任相关工作。</w:t>
      </w:r>
    </w:p>
    <w:p w14:paraId="31F332F0">
      <w:pPr>
        <w:overflowPunct w:val="0"/>
        <w:adjustRightInd w:val="0"/>
        <w:ind w:left="320" w:firstLine="640" w:firstLineChars="200"/>
        <w:rPr>
          <w:rFonts w:ascii="仿宋_GB2312" w:hAnsi="仿宋_GB2312" w:cs="仿宋_GB2312"/>
          <w:szCs w:val="32"/>
        </w:rPr>
      </w:pPr>
      <w:r>
        <w:rPr>
          <w:rFonts w:hint="eastAsia" w:ascii="仿宋_GB2312" w:hAnsi="仿宋_GB2312" w:cs="仿宋_GB2312"/>
          <w:color w:val="000000"/>
          <w:kern w:val="0"/>
          <w:szCs w:val="32"/>
          <w:lang w:bidi="ar"/>
        </w:rPr>
        <w:t>（5）“四史”教育</w:t>
      </w:r>
      <w:r>
        <w:rPr>
          <w:rFonts w:hint="eastAsia" w:ascii="仿宋_GB2312" w:hAnsi="仿宋_GB2312" w:cs="仿宋_GB2312"/>
          <w:szCs w:val="32"/>
        </w:rPr>
        <w:t>(16学时、1学分)</w:t>
      </w:r>
    </w:p>
    <w:p w14:paraId="7054E522">
      <w:pPr>
        <w:ind w:firstLine="640" w:firstLineChars="200"/>
        <w:rPr>
          <w:rFonts w:ascii="仿宋_GB2312"/>
        </w:rPr>
      </w:pPr>
      <w:r>
        <w:rPr>
          <w:rFonts w:hint="eastAsia" w:ascii="仿宋_GB2312" w:hAnsi="仿宋_GB2312" w:cs="仿宋_GB2312"/>
          <w:color w:val="404040"/>
          <w:kern w:val="0"/>
          <w:szCs w:val="32"/>
          <w:shd w:val="clear" w:color="auto" w:fill="FFFFFF"/>
          <w:lang w:bidi="ar"/>
        </w:rPr>
        <w:t>本课程通过系统学习党史、新中国史、改革开放史和社会主义发展史，帮助学生深刻理解中国共产党为什么能、马</w:t>
      </w:r>
      <w:r>
        <w:rPr>
          <w:rFonts w:hint="eastAsia" w:ascii="仿宋_GB2312"/>
        </w:rPr>
        <w:t>克思主义为什么行、中国特色社会主义为什么好，增强历史自觉，坚定文化自信。课程内容注重理论联系实际，结合青年学生特点，创新教学方法，引导学生在历史与现实的对照中树立正确的历史观、民族观、国家观，培养担当民族复兴大任的时代新人。</w:t>
      </w:r>
    </w:p>
    <w:p w14:paraId="616B5932">
      <w:pPr>
        <w:ind w:firstLine="640" w:firstLineChars="200"/>
        <w:rPr>
          <w:rFonts w:ascii="仿宋_GB2312"/>
        </w:rPr>
      </w:pPr>
      <w:r>
        <w:rPr>
          <w:rFonts w:hint="eastAsia" w:ascii="仿宋_GB2312"/>
        </w:rPr>
        <w:t>（6）情绪管理（16学时，1学分）</w:t>
      </w:r>
    </w:p>
    <w:p w14:paraId="4ECF8213">
      <w:pPr>
        <w:ind w:firstLine="640" w:firstLineChars="200"/>
        <w:rPr>
          <w:rFonts w:ascii="仿宋_GB2312"/>
        </w:rPr>
      </w:pPr>
      <w:r>
        <w:rPr>
          <w:rFonts w:hint="eastAsia" w:ascii="仿宋_GB2312"/>
        </w:rPr>
        <w:t>本本课程是一门公共基础选修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76EEC1F1">
      <w:pPr>
        <w:ind w:firstLine="640" w:firstLineChars="200"/>
        <w:rPr>
          <w:rFonts w:ascii="仿宋_GB2312"/>
        </w:rPr>
      </w:pPr>
      <w:r>
        <w:rPr>
          <w:rFonts w:hint="eastAsia" w:ascii="仿宋_GB2312"/>
        </w:rPr>
        <w:t>（7）大学语文（16学时，1学分）</w:t>
      </w:r>
    </w:p>
    <w:p w14:paraId="0381334B">
      <w:pPr>
        <w:ind w:firstLine="640" w:firstLineChars="200"/>
        <w:rPr>
          <w:rFonts w:ascii="仿宋_GB2312"/>
        </w:rPr>
      </w:pPr>
      <w:r>
        <w:rPr>
          <w:rFonts w:hint="eastAsia" w:ascii="仿宋_GB2312"/>
        </w:rPr>
        <w:t>本本课程是一门公共基础选修课程，以听、说、读、写为基本载体，融思想性、知识性、审美性、人文性和趣味性于一体，不仅能够增强学生的阅读与理解、表达与交流等语文应用能力及人文素养，为学生学好其他课程以及未来职业发展奠定基础，还能够帮助学生继承优秀的传统文化和人类知识的精华，在给学生带来心灵滋润和审美享受的同时，拓展视野、陶冶性情、启蒙心智、引导人格，在丰富学生情感世界和精神生活的同时，引导学生学会学习、学会做人、学会生活。</w:t>
      </w:r>
    </w:p>
    <w:p w14:paraId="160F4C9A">
      <w:pPr>
        <w:ind w:firstLine="643" w:firstLineChars="200"/>
        <w:rPr>
          <w:rFonts w:ascii="楷体_GB2312" w:hAnsi="楷体_GB2312" w:eastAsia="楷体_GB2312" w:cs="楷体_GB2312"/>
          <w:b/>
          <w:bCs/>
        </w:rPr>
      </w:pPr>
      <w:r>
        <w:rPr>
          <w:rFonts w:hint="eastAsia" w:ascii="楷体_GB2312" w:hAnsi="楷体_GB2312" w:eastAsia="楷体_GB2312" w:cs="楷体_GB2312"/>
          <w:b/>
          <w:bCs/>
        </w:rPr>
        <w:t>（二）专业（技能）课程</w:t>
      </w:r>
    </w:p>
    <w:p w14:paraId="7FBCCF31">
      <w:pPr>
        <w:ind w:firstLine="643" w:firstLineChars="200"/>
        <w:rPr>
          <w:rFonts w:hint="eastAsia" w:ascii="仿宋_GB2312"/>
          <w:b/>
          <w:bCs/>
        </w:rPr>
      </w:pPr>
      <w:bookmarkStart w:id="2" w:name="OLE_LINK1"/>
      <w:r>
        <w:rPr>
          <w:rFonts w:hint="eastAsia" w:ascii="仿宋_GB2312"/>
          <w:b/>
          <w:bCs/>
        </w:rPr>
        <w:t>1.专业基础课</w:t>
      </w:r>
      <w:bookmarkEnd w:id="2"/>
    </w:p>
    <w:p w14:paraId="116AA550">
      <w:pPr>
        <w:ind w:firstLine="640" w:firstLineChars="200"/>
        <w:rPr>
          <w:rFonts w:ascii="仿宋_GB2312"/>
        </w:rPr>
      </w:pPr>
      <w:r>
        <w:rPr>
          <w:rFonts w:hint="eastAsia" w:ascii="仿宋_GB2312"/>
        </w:rPr>
        <w:t>（1）婴幼儿营养与保育学(80学时、5学分)</w:t>
      </w:r>
    </w:p>
    <w:p w14:paraId="16F6E5D7">
      <w:pPr>
        <w:ind w:firstLine="640" w:firstLineChars="200"/>
        <w:rPr>
          <w:rFonts w:ascii="仿宋_GB2312"/>
        </w:rPr>
      </w:pPr>
      <w:r>
        <w:rPr>
          <w:rFonts w:hint="eastAsia" w:ascii="仿宋_GB2312"/>
        </w:rPr>
        <w:t>‌课程目标‌</w:t>
      </w:r>
      <w:r>
        <w:rPr>
          <w:rFonts w:hint="eastAsia" w:ascii="仿宋_GB2312"/>
          <w:lang w:eastAsia="zh-CN"/>
        </w:rPr>
        <w:t>：</w:t>
      </w:r>
      <w:r>
        <w:rPr>
          <w:rFonts w:hint="eastAsia" w:ascii="仿宋_GB2312"/>
        </w:rPr>
        <w:t>掌握0-6岁婴幼儿生长发育规律及营养需求，具备科学喂养与疾病预防能力，培养保育实践技能910。</w:t>
      </w:r>
    </w:p>
    <w:p w14:paraId="66E86129">
      <w:pPr>
        <w:ind w:firstLine="640" w:firstLineChars="200"/>
        <w:rPr>
          <w:rFonts w:ascii="仿宋_GB2312"/>
        </w:rPr>
      </w:pPr>
      <w:r>
        <w:rPr>
          <w:rFonts w:hint="eastAsia" w:ascii="仿宋_GB2312"/>
        </w:rPr>
        <w:t>‌课程内容</w:t>
      </w:r>
      <w:r>
        <w:rPr>
          <w:rFonts w:hint="eastAsia" w:ascii="仿宋_GB2312"/>
          <w:lang w:eastAsia="zh-CN"/>
        </w:rPr>
        <w:t>：</w:t>
      </w:r>
      <w:r>
        <w:rPr>
          <w:rFonts w:hint="eastAsia" w:ascii="仿宋_GB2312"/>
        </w:rPr>
        <w:t>‌</w:t>
      </w:r>
    </w:p>
    <w:p w14:paraId="01396461">
      <w:pPr>
        <w:ind w:firstLine="640" w:firstLineChars="200"/>
        <w:rPr>
          <w:rFonts w:ascii="仿宋_GB2312"/>
        </w:rPr>
      </w:pPr>
      <w:r>
        <w:rPr>
          <w:rFonts w:hint="eastAsia" w:ascii="仿宋_GB2312"/>
        </w:rPr>
        <w:t>理论模块：婴幼儿生理特点、营养膳食指南、常见疾病护理</w:t>
      </w:r>
    </w:p>
    <w:p w14:paraId="6F3044CD">
      <w:pPr>
        <w:ind w:firstLine="640" w:firstLineChars="200"/>
        <w:rPr>
          <w:rFonts w:ascii="仿宋_GB2312"/>
        </w:rPr>
      </w:pPr>
      <w:r>
        <w:rPr>
          <w:rFonts w:hint="eastAsia" w:ascii="仿宋_GB2312"/>
        </w:rPr>
        <w:t>实践模块：体格锻炼指导、发育异常儿护理、意外伤害处理</w:t>
      </w:r>
    </w:p>
    <w:p w14:paraId="12E3C5BD">
      <w:pPr>
        <w:ind w:left="640" w:leftChars="200" w:firstLine="0" w:firstLineChars="0"/>
        <w:rPr>
          <w:rFonts w:ascii="仿宋_GB2312"/>
        </w:rPr>
      </w:pPr>
      <w:r>
        <w:rPr>
          <w:rFonts w:hint="eastAsia" w:ascii="仿宋_GB2312"/>
        </w:rPr>
        <w:t>‌教学要求‌</w:t>
      </w:r>
      <w:r>
        <w:rPr>
          <w:rFonts w:hint="eastAsia" w:ascii="仿宋_GB2312"/>
          <w:lang w:eastAsia="zh-CN"/>
        </w:rPr>
        <w:t>：</w:t>
      </w:r>
      <w:r>
        <w:rPr>
          <w:rFonts w:hint="eastAsia" w:ascii="仿宋_GB2312"/>
        </w:rPr>
        <w:t>采用理实一体化教学，结合案例分析与操作演练，考核需包含食谱设计及应急处理模拟。</w:t>
      </w:r>
    </w:p>
    <w:p w14:paraId="2BD356FF">
      <w:pPr>
        <w:ind w:firstLine="640" w:firstLineChars="200"/>
        <w:rPr>
          <w:rFonts w:ascii="仿宋_GB2312"/>
        </w:rPr>
      </w:pPr>
      <w:r>
        <w:rPr>
          <w:rFonts w:hint="eastAsia" w:ascii="仿宋_GB2312"/>
        </w:rPr>
        <w:t>（2）托幼机构卫生与消毒规范(112学时、7学分)</w:t>
      </w:r>
    </w:p>
    <w:p w14:paraId="1E487688">
      <w:pPr>
        <w:ind w:left="640" w:leftChars="200" w:firstLine="0" w:firstLineChars="0"/>
        <w:rPr>
          <w:rFonts w:ascii="仿宋_GB2312"/>
        </w:rPr>
      </w:pPr>
      <w:r>
        <w:rPr>
          <w:rFonts w:hint="eastAsia" w:ascii="仿宋_GB2312"/>
        </w:rPr>
        <w:t>‌课程目标‌</w:t>
      </w:r>
      <w:r>
        <w:rPr>
          <w:rFonts w:hint="eastAsia" w:ascii="仿宋_GB2312"/>
          <w:lang w:eastAsia="zh-CN"/>
        </w:rPr>
        <w:t>：</w:t>
      </w:r>
      <w:r>
        <w:rPr>
          <w:rFonts w:hint="eastAsia" w:ascii="仿宋_GB2312"/>
        </w:rPr>
        <w:t>掌握托幼机构卫生标准与消毒技术，能规范执行传染病防控流程。</w:t>
      </w:r>
    </w:p>
    <w:p w14:paraId="7AF5519A">
      <w:pPr>
        <w:ind w:firstLine="640" w:firstLineChars="200"/>
        <w:rPr>
          <w:rFonts w:ascii="仿宋_GB2312"/>
        </w:rPr>
      </w:pPr>
      <w:r>
        <w:rPr>
          <w:rFonts w:hint="eastAsia" w:ascii="仿宋_GB2312"/>
        </w:rPr>
        <w:t>‌课程内容‌</w:t>
      </w:r>
      <w:r>
        <w:rPr>
          <w:rFonts w:hint="eastAsia" w:ascii="仿宋_GB2312"/>
          <w:lang w:eastAsia="zh-CN"/>
        </w:rPr>
        <w:t>：</w:t>
      </w:r>
      <w:r>
        <w:rPr>
          <w:rFonts w:hint="eastAsia" w:ascii="仿宋_GB2312"/>
        </w:rPr>
        <w:t>十项卫生保健制度（如消毒、传染病防控）</w:t>
      </w:r>
    </w:p>
    <w:p w14:paraId="74096776">
      <w:pPr>
        <w:ind w:firstLine="640" w:firstLineChars="200"/>
        <w:rPr>
          <w:rFonts w:ascii="仿宋_GB2312"/>
        </w:rPr>
      </w:pPr>
      <w:r>
        <w:rPr>
          <w:rFonts w:hint="eastAsia" w:ascii="仿宋_GB2312"/>
        </w:rPr>
        <w:t>消毒方法分类：物理（紫外线、煮沸）与化学（含氯消毒剂）操作规范。</w:t>
      </w:r>
    </w:p>
    <w:p w14:paraId="2CE2F17F">
      <w:pPr>
        <w:ind w:left="320" w:leftChars="100" w:firstLine="320" w:firstLineChars="100"/>
        <w:jc w:val="left"/>
        <w:rPr>
          <w:rFonts w:ascii="仿宋_GB2312"/>
        </w:rPr>
      </w:pPr>
      <w:r>
        <w:rPr>
          <w:rFonts w:hint="eastAsia" w:ascii="仿宋_GB2312"/>
        </w:rPr>
        <w:t>‌教学要求‌</w:t>
      </w:r>
      <w:r>
        <w:rPr>
          <w:rFonts w:hint="eastAsia" w:ascii="仿宋_GB2312"/>
          <w:lang w:eastAsia="zh-CN"/>
        </w:rPr>
        <w:t>：</w:t>
      </w:r>
      <w:r>
        <w:rPr>
          <w:rFonts w:hint="eastAsia" w:ascii="仿宋_GB2312"/>
        </w:rPr>
        <w:t>重点培训实操技能，需通过卫生评价模拟考核，熟悉《托儿所幼儿园卫生保健管理办法》。</w:t>
      </w:r>
    </w:p>
    <w:p w14:paraId="4D8CB91E">
      <w:pPr>
        <w:ind w:firstLine="640" w:firstLineChars="200"/>
        <w:rPr>
          <w:rFonts w:ascii="仿宋_GB2312"/>
        </w:rPr>
      </w:pPr>
      <w:r>
        <w:rPr>
          <w:rFonts w:hint="eastAsia" w:ascii="仿宋_GB2312"/>
        </w:rPr>
        <w:t>（3）家庭教育指导(64学时、4学分)</w:t>
      </w:r>
    </w:p>
    <w:p w14:paraId="5BB0E850">
      <w:pPr>
        <w:ind w:firstLine="640" w:firstLineChars="200"/>
        <w:rPr>
          <w:rFonts w:ascii="仿宋_GB2312"/>
        </w:rPr>
      </w:pPr>
      <w:r>
        <w:rPr>
          <w:rFonts w:hint="eastAsia" w:ascii="仿宋_GB2312"/>
        </w:rPr>
        <w:t>‌课程目标‌</w:t>
      </w:r>
      <w:r>
        <w:rPr>
          <w:rFonts w:hint="eastAsia" w:ascii="仿宋_GB2312"/>
        </w:rPr>
        <w:br w:type="textWrapping"/>
      </w:r>
      <w:r>
        <w:rPr>
          <w:rFonts w:hint="eastAsia" w:ascii="仿宋_GB2312"/>
        </w:rPr>
        <w:t>提升家长科学育儿能力，构建和谐家庭环境，掌握亲子沟通技巧。</w:t>
      </w:r>
    </w:p>
    <w:p w14:paraId="3D10B36D">
      <w:pPr>
        <w:ind w:firstLine="640" w:firstLineChars="200"/>
        <w:rPr>
          <w:rFonts w:ascii="仿宋_GB2312"/>
        </w:rPr>
      </w:pPr>
      <w:r>
        <w:rPr>
          <w:rFonts w:hint="eastAsia" w:ascii="仿宋_GB2312"/>
        </w:rPr>
        <w:t>‌课程内容‌</w:t>
      </w:r>
      <w:r>
        <w:rPr>
          <w:rFonts w:hint="eastAsia" w:ascii="仿宋_GB2312"/>
          <w:lang w:eastAsia="zh-CN"/>
        </w:rPr>
        <w:t>：</w:t>
      </w:r>
      <w:r>
        <w:rPr>
          <w:rFonts w:hint="eastAsia" w:ascii="仿宋_GB2312"/>
        </w:rPr>
        <w:t>儿童发展心理学基础</w:t>
      </w:r>
      <w:r>
        <w:rPr>
          <w:rFonts w:hint="eastAsia" w:ascii="仿宋_GB2312"/>
          <w:lang w:eastAsia="zh-CN"/>
        </w:rPr>
        <w:t>、</w:t>
      </w:r>
      <w:r>
        <w:rPr>
          <w:rFonts w:hint="eastAsia" w:ascii="仿宋_GB2312"/>
        </w:rPr>
        <w:t>正面管教方法、家庭规则制定</w:t>
      </w:r>
    </w:p>
    <w:p w14:paraId="3C7FE361">
      <w:pPr>
        <w:ind w:firstLine="640" w:firstLineChars="200"/>
        <w:rPr>
          <w:rFonts w:ascii="仿宋_GB2312"/>
        </w:rPr>
      </w:pPr>
      <w:r>
        <w:rPr>
          <w:rFonts w:hint="eastAsia" w:ascii="仿宋_GB2312"/>
        </w:rPr>
        <w:t>家校共育策略与案例分析</w:t>
      </w:r>
    </w:p>
    <w:p w14:paraId="074D369C">
      <w:pPr>
        <w:ind w:left="320" w:leftChars="100" w:firstLine="320" w:firstLineChars="100"/>
        <w:rPr>
          <w:rFonts w:hint="eastAsia" w:ascii="仿宋_GB2312"/>
          <w:lang w:eastAsia="zh-CN"/>
        </w:rPr>
      </w:pPr>
      <w:r>
        <w:rPr>
          <w:rFonts w:hint="eastAsia" w:ascii="仿宋_GB2312"/>
        </w:rPr>
        <w:t>‌教学要求‌</w:t>
      </w:r>
      <w:r>
        <w:rPr>
          <w:rFonts w:hint="eastAsia" w:ascii="仿宋_GB2312"/>
          <w:lang w:eastAsia="zh-CN"/>
        </w:rPr>
        <w:t>：</w:t>
      </w:r>
      <w:r>
        <w:rPr>
          <w:rFonts w:hint="eastAsia" w:ascii="仿宋_GB2312"/>
        </w:rPr>
        <w:t>采用角色扮演与小组研讨，需完成家庭观察报告及指导方案设计</w:t>
      </w:r>
      <w:r>
        <w:rPr>
          <w:rFonts w:hint="eastAsia" w:ascii="仿宋_GB2312"/>
          <w:lang w:eastAsia="zh-CN"/>
        </w:rPr>
        <w:t>。</w:t>
      </w:r>
    </w:p>
    <w:p w14:paraId="04C83131">
      <w:pPr>
        <w:ind w:left="320" w:leftChars="100" w:firstLine="320" w:firstLineChars="100"/>
        <w:rPr>
          <w:rFonts w:ascii="仿宋_GB2312"/>
        </w:rPr>
      </w:pPr>
      <w:r>
        <w:rPr>
          <w:rFonts w:hint="eastAsia" w:ascii="仿宋_GB2312"/>
        </w:rPr>
        <w:t>（4）婴幼儿早期教育方法与活动设计(112学时、7学分)</w:t>
      </w:r>
    </w:p>
    <w:p w14:paraId="4093BDDC">
      <w:pPr>
        <w:ind w:left="320" w:leftChars="100" w:firstLine="320" w:firstLineChars="100"/>
        <w:rPr>
          <w:rFonts w:ascii="仿宋_GB2312"/>
        </w:rPr>
      </w:pPr>
      <w:r>
        <w:rPr>
          <w:rFonts w:hint="eastAsia" w:ascii="仿宋_GB2312"/>
        </w:rPr>
        <w:t>‌课程目标‌</w:t>
      </w:r>
      <w:r>
        <w:rPr>
          <w:rFonts w:hint="eastAsia" w:ascii="仿宋_GB2312"/>
          <w:lang w:eastAsia="zh-CN"/>
        </w:rPr>
        <w:t>“</w:t>
      </w:r>
      <w:r>
        <w:rPr>
          <w:rFonts w:hint="eastAsia" w:ascii="仿宋_GB2312"/>
        </w:rPr>
        <w:t>设计符合0-3岁婴幼儿认知发展的游戏活动，促进感知觉与运动能力发展。</w:t>
      </w:r>
    </w:p>
    <w:p w14:paraId="4ECA312F">
      <w:pPr>
        <w:ind w:firstLine="640" w:firstLineChars="200"/>
        <w:rPr>
          <w:rFonts w:ascii="仿宋_GB2312"/>
        </w:rPr>
      </w:pPr>
      <w:r>
        <w:rPr>
          <w:rFonts w:hint="eastAsia" w:ascii="仿宋_GB2312"/>
        </w:rPr>
        <w:t>‌课程内容‌</w:t>
      </w:r>
      <w:r>
        <w:rPr>
          <w:rFonts w:hint="eastAsia" w:ascii="仿宋_GB2312"/>
          <w:lang w:eastAsia="zh-CN"/>
        </w:rPr>
        <w:t>：</w:t>
      </w:r>
      <w:r>
        <w:rPr>
          <w:rFonts w:hint="eastAsia" w:ascii="仿宋_GB2312"/>
        </w:rPr>
        <w:t>早期教育理论（蒙台梭利、皮亚杰）</w:t>
      </w:r>
    </w:p>
    <w:p w14:paraId="41498202">
      <w:pPr>
        <w:ind w:firstLine="640" w:firstLineChars="200"/>
        <w:rPr>
          <w:rFonts w:ascii="仿宋_GB2312"/>
        </w:rPr>
      </w:pPr>
      <w:r>
        <w:rPr>
          <w:rFonts w:hint="eastAsia" w:ascii="仿宋_GB2312"/>
        </w:rPr>
        <w:t>活动设计：感官训练、语言启蒙、社交游戏</w:t>
      </w:r>
    </w:p>
    <w:p w14:paraId="293546E9">
      <w:pPr>
        <w:ind w:firstLine="640" w:firstLineChars="200"/>
        <w:rPr>
          <w:rFonts w:ascii="仿宋_GB2312"/>
        </w:rPr>
      </w:pPr>
      <w:r>
        <w:rPr>
          <w:rFonts w:hint="eastAsia" w:ascii="仿宋_GB2312"/>
        </w:rPr>
        <w:t>‌教学要求‌</w:t>
      </w:r>
      <w:r>
        <w:rPr>
          <w:rFonts w:hint="eastAsia" w:ascii="仿宋_GB2312"/>
        </w:rPr>
        <w:br w:type="textWrapping"/>
      </w:r>
      <w:r>
        <w:rPr>
          <w:rFonts w:hint="eastAsia" w:ascii="仿宋_GB2312"/>
        </w:rPr>
        <w:t>需提交活动教案并完成模拟教学演示，强调安全性评估</w:t>
      </w:r>
    </w:p>
    <w:p w14:paraId="3EE6B0BF">
      <w:pPr>
        <w:ind w:firstLine="640" w:firstLineChars="200"/>
        <w:rPr>
          <w:rFonts w:ascii="仿宋_GB2312"/>
        </w:rPr>
      </w:pPr>
      <w:r>
        <w:rPr>
          <w:rFonts w:hint="eastAsia" w:ascii="仿宋_GB2312"/>
        </w:rPr>
        <w:t>（5）婴幼儿日常生活照料(80学时、5学分)</w:t>
      </w:r>
    </w:p>
    <w:p w14:paraId="3BCC938E">
      <w:pPr>
        <w:ind w:firstLine="640" w:firstLineChars="200"/>
        <w:rPr>
          <w:rFonts w:ascii="仿宋_GB2312"/>
        </w:rPr>
      </w:pPr>
      <w:r>
        <w:rPr>
          <w:rFonts w:hint="eastAsia" w:ascii="仿宋_GB2312"/>
        </w:rPr>
        <w:t>‌课程目标‌</w:t>
      </w:r>
      <w:r>
        <w:rPr>
          <w:rFonts w:hint="eastAsia" w:ascii="仿宋_GB2312"/>
          <w:lang w:eastAsia="zh-CN"/>
        </w:rPr>
        <w:t>：</w:t>
      </w:r>
      <w:r>
        <w:rPr>
          <w:rFonts w:hint="eastAsia" w:ascii="仿宋_GB2312"/>
        </w:rPr>
        <w:t>规范完成喂养、睡眠、清洁等日常护理，培养安全意识与应急能力。</w:t>
      </w:r>
    </w:p>
    <w:p w14:paraId="7F902FA5">
      <w:pPr>
        <w:ind w:firstLine="640" w:firstLineChars="200"/>
        <w:rPr>
          <w:rFonts w:hint="eastAsia" w:ascii="仿宋_GB2312" w:hAnsi="Times New Roman" w:cs="Times New Roman"/>
        </w:rPr>
      </w:pPr>
      <w:r>
        <w:rPr>
          <w:rFonts w:hint="eastAsia" w:ascii="仿宋_GB2312"/>
        </w:rPr>
        <w:t>‌课程内容‌</w:t>
      </w:r>
      <w:r>
        <w:rPr>
          <w:rFonts w:hint="eastAsia" w:ascii="仿宋_GB2312"/>
          <w:lang w:eastAsia="zh-CN"/>
        </w:rPr>
        <w:t>：</w:t>
      </w:r>
      <w:r>
        <w:rPr>
          <w:rFonts w:hint="eastAsia" w:ascii="仿宋_GB2312" w:hAnsi="Times New Roman" w:cs="Times New Roman"/>
        </w:rPr>
        <w:t>生活照料流程（如午睡巡视、特需餐配制）</w:t>
      </w:r>
    </w:p>
    <w:p w14:paraId="472BD23F">
      <w:pPr>
        <w:ind w:firstLine="640" w:firstLineChars="200"/>
        <w:rPr>
          <w:rFonts w:hint="eastAsia" w:ascii="仿宋_GB2312" w:hAnsi="Times New Roman" w:cs="Times New Roman"/>
        </w:rPr>
      </w:pPr>
      <w:r>
        <w:rPr>
          <w:rFonts w:hint="eastAsia" w:ascii="仿宋_GB2312" w:hAnsi="Times New Roman" w:cs="Times New Roman"/>
        </w:rPr>
        <w:t>安全防护：监控系统使用、伤害预防</w:t>
      </w:r>
    </w:p>
    <w:p w14:paraId="650CB906">
      <w:pPr>
        <w:ind w:firstLine="640" w:firstLineChars="200"/>
        <w:rPr>
          <w:rFonts w:ascii="仿宋_GB2312"/>
        </w:rPr>
      </w:pPr>
      <w:r>
        <w:rPr>
          <w:rFonts w:hint="eastAsia" w:ascii="仿宋_GB2312"/>
        </w:rPr>
        <w:t>‌教学要求‌</w:t>
      </w:r>
      <w:r>
        <w:rPr>
          <w:rFonts w:hint="eastAsia" w:ascii="仿宋_GB2312"/>
          <w:lang w:eastAsia="zh-CN"/>
        </w:rPr>
        <w:t>：</w:t>
      </w:r>
      <w:r>
        <w:rPr>
          <w:rFonts w:hint="eastAsia" w:ascii="仿宋_GB2312"/>
        </w:rPr>
        <w:t>实训需覆盖全流程操作考核，重点监控细节规范性。</w:t>
      </w:r>
    </w:p>
    <w:p w14:paraId="0B89ED7C">
      <w:pPr>
        <w:ind w:firstLine="640" w:firstLineChars="200"/>
        <w:rPr>
          <w:rFonts w:ascii="仿宋_GB2312"/>
        </w:rPr>
      </w:pPr>
      <w:r>
        <w:rPr>
          <w:rFonts w:hint="eastAsia" w:ascii="仿宋_GB2312"/>
        </w:rPr>
        <w:t>（6）婴幼儿托育服务市场分析(64学时、4学分)</w:t>
      </w:r>
    </w:p>
    <w:p w14:paraId="3846F2E3">
      <w:pPr>
        <w:ind w:firstLine="640" w:firstLineChars="200"/>
        <w:rPr>
          <w:rFonts w:ascii="仿宋_GB2312"/>
        </w:rPr>
      </w:pPr>
      <w:r>
        <w:rPr>
          <w:rFonts w:hint="eastAsia" w:ascii="仿宋_GB2312"/>
        </w:rPr>
        <w:t>‌课程目标‌</w:t>
      </w:r>
      <w:r>
        <w:rPr>
          <w:rFonts w:hint="eastAsia" w:ascii="仿宋_GB2312"/>
          <w:lang w:eastAsia="zh-CN"/>
        </w:rPr>
        <w:t>：</w:t>
      </w:r>
      <w:r>
        <w:rPr>
          <w:rFonts w:hint="eastAsia" w:ascii="仿宋_GB2312"/>
        </w:rPr>
        <w:t>理解托育行业政策与市场需求，掌握机构运营管理模式。</w:t>
      </w:r>
    </w:p>
    <w:p w14:paraId="5F91D10B">
      <w:pPr>
        <w:ind w:firstLine="640" w:firstLineChars="200"/>
        <w:rPr>
          <w:rFonts w:ascii="仿宋_GB2312"/>
        </w:rPr>
      </w:pPr>
      <w:r>
        <w:rPr>
          <w:rFonts w:hint="eastAsia" w:ascii="仿宋_GB2312"/>
        </w:rPr>
        <w:t>‌课程内容‌</w:t>
      </w:r>
    </w:p>
    <w:p w14:paraId="6F4B2815">
      <w:pPr>
        <w:ind w:firstLine="640" w:firstLineChars="200"/>
        <w:rPr>
          <w:rFonts w:ascii="仿宋_GB2312"/>
        </w:rPr>
      </w:pPr>
      <w:r>
        <w:rPr>
          <w:rFonts w:hint="eastAsia" w:ascii="仿宋_GB2312"/>
        </w:rPr>
        <w:t>政策法规：《学前教育法》普惠性要求</w:t>
      </w:r>
    </w:p>
    <w:p w14:paraId="5C5A6EEC">
      <w:pPr>
        <w:ind w:firstLine="640" w:firstLineChars="200"/>
        <w:rPr>
          <w:rFonts w:ascii="仿宋_GB2312"/>
        </w:rPr>
      </w:pPr>
      <w:r>
        <w:rPr>
          <w:rFonts w:hint="eastAsia" w:ascii="仿宋_GB2312"/>
        </w:rPr>
        <w:t>市场调研：资源布局、家长需求分析</w:t>
      </w:r>
    </w:p>
    <w:p w14:paraId="7561AA46">
      <w:pPr>
        <w:ind w:firstLine="640" w:firstLineChars="200"/>
        <w:rPr>
          <w:rFonts w:hint="eastAsia" w:ascii="仿宋_GB2312"/>
        </w:rPr>
      </w:pPr>
      <w:r>
        <w:rPr>
          <w:rFonts w:hint="eastAsia" w:ascii="仿宋_GB2312"/>
        </w:rPr>
        <w:t>‌教学要求‌</w:t>
      </w:r>
      <w:r>
        <w:rPr>
          <w:rFonts w:hint="eastAsia" w:ascii="仿宋_GB2312"/>
          <w:lang w:eastAsia="zh-CN"/>
        </w:rPr>
        <w:t>：</w:t>
      </w:r>
      <w:r>
        <w:rPr>
          <w:rFonts w:hint="eastAsia" w:ascii="仿宋_GB2312"/>
        </w:rPr>
        <w:t>采用数据建模与实地考察结合，需完成区域市场分析报告。</w:t>
      </w:r>
    </w:p>
    <w:p w14:paraId="0848E520">
      <w:pPr>
        <w:ind w:firstLine="640" w:firstLineChars="200"/>
        <w:rPr>
          <w:rFonts w:ascii="仿宋_GB2312"/>
        </w:rPr>
      </w:pPr>
      <w:r>
        <w:rPr>
          <w:rFonts w:hint="eastAsia" w:ascii="仿宋_GB2312"/>
        </w:rPr>
        <w:t>（7）婴幼儿生理基础(64学时、4学分)</w:t>
      </w:r>
    </w:p>
    <w:p w14:paraId="6426C346">
      <w:pPr>
        <w:ind w:firstLine="640" w:firstLineChars="200"/>
        <w:rPr>
          <w:rFonts w:ascii="仿宋_GB2312"/>
        </w:rPr>
      </w:pPr>
      <w:r>
        <w:rPr>
          <w:rFonts w:hint="eastAsia" w:ascii="仿宋_GB2312"/>
        </w:rPr>
        <w:t>课程目标：本课程旨在帮助学生系统掌握0-3岁婴幼儿各系统生理发育的特点和规律，重点理解婴幼儿神经系统、运动系统、消化系统等关键系统的发育特征及其养护要点。通过学习，学生将能够运用生理知识指导婴幼儿日常照护，识别生长发育过程中的常见问题，为后续专业课程学习奠定基础。</w:t>
      </w:r>
    </w:p>
    <w:p w14:paraId="6D91D450">
      <w:pPr>
        <w:ind w:firstLine="640" w:firstLineChars="200"/>
        <w:rPr>
          <w:rFonts w:ascii="仿宋_GB2312"/>
        </w:rPr>
      </w:pPr>
      <w:r>
        <w:rPr>
          <w:rFonts w:hint="eastAsia" w:ascii="仿宋_GB2312"/>
        </w:rPr>
        <w:t>主要内容：各系统发育特点、生长发育评估、生理功能特点、常见生理现象解析等核心内容。着重探讨0-3岁婴幼儿神经系统、运动系统、消化系统、呼吸系统等关键系统的发育规律及其养护要点。</w:t>
      </w:r>
    </w:p>
    <w:p w14:paraId="161331BC">
      <w:pPr>
        <w:ind w:firstLine="640" w:firstLineChars="200"/>
        <w:rPr>
          <w:rFonts w:ascii="仿宋_GB2312"/>
        </w:rPr>
      </w:pPr>
      <w:r>
        <w:rPr>
          <w:rFonts w:hint="eastAsia" w:ascii="仿宋_GB2312"/>
        </w:rPr>
        <w:t>教学要求：课程采用理论讲授与实践操作相结合的教学方式。理论教学以讲授法为主，结合典型案例分析；实践教学注重操作技能训练，包括生长发育测量、发育评估等。要求学生在每章节学习后完成相关笔记和作业。</w:t>
      </w:r>
    </w:p>
    <w:p w14:paraId="7766FE10">
      <w:pPr>
        <w:ind w:firstLine="640" w:firstLineChars="200"/>
        <w:rPr>
          <w:rFonts w:ascii="仿宋_GB2312"/>
        </w:rPr>
      </w:pPr>
      <w:r>
        <w:rPr>
          <w:rFonts w:hint="eastAsia" w:ascii="仿宋_GB2312"/>
        </w:rPr>
        <w:t>（8）婴幼儿卫生与保健(112学时、5学分)</w:t>
      </w:r>
    </w:p>
    <w:p w14:paraId="016B2EB0">
      <w:pPr>
        <w:ind w:firstLine="640" w:firstLineChars="200"/>
        <w:rPr>
          <w:rFonts w:ascii="仿宋_GB2312"/>
        </w:rPr>
      </w:pPr>
      <w:r>
        <w:rPr>
          <w:rFonts w:hint="eastAsia" w:ascii="仿宋_GB2312"/>
        </w:rPr>
        <w:t>课程目标：本课程旨在培养学生掌握0-3岁婴幼儿卫生保健的基本知识和实践技能，重点学习婴幼儿日常卫生管理、疾病预防、安全防护等核心内容。通过课程学习，学生将能够科学开展婴幼儿卫生保健工作，具备识别常见健康问题、实施基础护理和应急处理的能力，为婴幼儿健康成长提供专业保障。</w:t>
      </w:r>
    </w:p>
    <w:p w14:paraId="2D738BAF">
      <w:pPr>
        <w:ind w:firstLine="640" w:firstLineChars="200"/>
        <w:rPr>
          <w:rFonts w:ascii="仿宋_GB2312"/>
        </w:rPr>
      </w:pPr>
      <w:r>
        <w:rPr>
          <w:rFonts w:hint="eastAsia" w:ascii="仿宋_GB2312"/>
        </w:rPr>
        <w:t>主要内容：婴幼儿个人卫生管理、环境卫生要求、营养与喂养卫生、常见疾病预防与护理、意外伤害防范与急救、预防接种与健康检查等核心模块。重点涵盖婴幼儿日常生活卫生规范、传染病防控措施、安全防护要点等实用知识。</w:t>
      </w:r>
    </w:p>
    <w:p w14:paraId="6D03BAF4">
      <w:pPr>
        <w:ind w:firstLine="640" w:firstLineChars="200"/>
        <w:rPr>
          <w:rFonts w:ascii="仿宋_GB2312"/>
        </w:rPr>
      </w:pPr>
      <w:r>
        <w:rPr>
          <w:rFonts w:hint="eastAsia" w:ascii="仿宋_GB2312"/>
        </w:rPr>
        <w:t>教学要求：课程采用理论讲授与实操训练相结合的方式，理论教学结合典型案例分析，实践教学注重技能操作训练。要求学生在每章节学习后完成相关案例分析报告，参与卫生保健实操训练并提交实训记录，通过理论考核和技能操作考核评估学习效果，其中实操考核比重不低于40%。</w:t>
      </w:r>
    </w:p>
    <w:p w14:paraId="604F262B">
      <w:pPr>
        <w:ind w:firstLine="640" w:firstLineChars="200"/>
        <w:rPr>
          <w:rFonts w:ascii="仿宋_GB2312"/>
        </w:rPr>
      </w:pPr>
      <w:r>
        <w:rPr>
          <w:rFonts w:hint="eastAsia" w:ascii="仿宋_GB2312"/>
        </w:rPr>
        <w:t>（9）托幼机构组织管理实务(80学时、5学分)</w:t>
      </w:r>
    </w:p>
    <w:p w14:paraId="225ED58E">
      <w:pPr>
        <w:ind w:firstLine="640" w:firstLineChars="200"/>
        <w:rPr>
          <w:rFonts w:ascii="仿宋_GB2312"/>
        </w:rPr>
      </w:pPr>
      <w:r>
        <w:rPr>
          <w:rFonts w:hint="eastAsia" w:ascii="仿宋_GB2312"/>
        </w:rPr>
        <w:t>课程目标：本课程旨在培养学生掌握托幼机构运营管理的专业知识和实务技能。通过系统学习，使学生能够运用现代管理理念和方法，有效开展托幼机构日常运营管理、团队建设、质量监控等工作，提升托幼机构服务质量和运营效率。</w:t>
      </w:r>
    </w:p>
    <w:p w14:paraId="2A968BC8">
      <w:pPr>
        <w:ind w:firstLine="640" w:firstLineChars="200"/>
        <w:rPr>
          <w:rFonts w:ascii="仿宋_GB2312"/>
        </w:rPr>
      </w:pPr>
      <w:r>
        <w:rPr>
          <w:rFonts w:hint="eastAsia" w:ascii="仿宋_GB2312"/>
        </w:rPr>
        <w:t>主要内容：托幼机构行政管理、人力资源管理、财务管理、安全管理、课程管理、家园共育管理、质量评估与改进等核心模块。重点涵盖《托育机构设置标准》《托育机构管理规范》等最新政策文件要求。</w:t>
      </w:r>
    </w:p>
    <w:p w14:paraId="24A090CE">
      <w:pPr>
        <w:ind w:firstLine="640" w:firstLineChars="200"/>
        <w:rPr>
          <w:rFonts w:ascii="仿宋_GB2312"/>
        </w:rPr>
      </w:pPr>
      <w:r>
        <w:rPr>
          <w:rFonts w:hint="eastAsia" w:ascii="仿宋_GB2312"/>
        </w:rPr>
        <w:t>教学要求：采用案例教学与实务操作相结合的方式，理论教学占比40%，实践训练占比60%。要求每单元学习后完成管理案例分析报告作业，不定时进行课堂抽查。</w:t>
      </w:r>
    </w:p>
    <w:p w14:paraId="0F33BDA6">
      <w:pPr>
        <w:ind w:firstLine="640" w:firstLineChars="200"/>
        <w:rPr>
          <w:rFonts w:ascii="仿宋_GB2312"/>
        </w:rPr>
      </w:pPr>
      <w:r>
        <w:rPr>
          <w:rFonts w:hint="eastAsia" w:ascii="仿宋_GB2312"/>
        </w:rPr>
        <w:t>（10）婴幼儿学习与发展(80学时、5学分)</w:t>
      </w:r>
    </w:p>
    <w:p w14:paraId="53299068">
      <w:pPr>
        <w:ind w:firstLine="640" w:firstLineChars="200"/>
        <w:rPr>
          <w:rFonts w:ascii="仿宋_GB2312"/>
        </w:rPr>
      </w:pPr>
      <w:r>
        <w:rPr>
          <w:rFonts w:hint="eastAsia" w:ascii="仿宋_GB2312"/>
        </w:rPr>
        <w:t>课程目标：本课程旨在培养学生掌握0-3岁婴幼儿学习与发展的基本规律，理解各领域发展的关键特征及影响因素。通过系统学习，使学生具备运用发展理论观察评估婴幼儿发展水平的能力，能够设计符合婴幼儿年龄特点的学习活动，为实施科学保育教育奠定基础</w:t>
      </w:r>
    </w:p>
    <w:p w14:paraId="059A104E">
      <w:pPr>
        <w:ind w:firstLine="640" w:firstLineChars="200"/>
        <w:rPr>
          <w:rFonts w:ascii="仿宋_GB2312"/>
        </w:rPr>
      </w:pPr>
      <w:r>
        <w:rPr>
          <w:rFonts w:hint="eastAsia" w:ascii="仿宋_GB2312"/>
        </w:rPr>
        <w:t>主要内容：婴幼儿认知、语言、动作、社会情感等领域的发展理论，重点包括：学习与发展的神经科学基础、各领域发展里程碑、发展评估方法、早期学习支持策略等内容。突出婴幼儿发展特点与保育教育实践的有机结合。</w:t>
      </w:r>
    </w:p>
    <w:p w14:paraId="6BDB9C71">
      <w:pPr>
        <w:ind w:firstLine="640" w:firstLineChars="200"/>
        <w:rPr>
          <w:rFonts w:ascii="仿宋_GB2312"/>
        </w:rPr>
      </w:pPr>
      <w:r>
        <w:rPr>
          <w:rFonts w:hint="eastAsia" w:ascii="仿宋_GB2312"/>
        </w:rPr>
        <w:t>教学要求：采用"理论+实践+反思"的教学模式，理论讲授占比40%，实践训练占比60%。要求每单元学习后完成发展观察报告，定期开展婴幼儿发展评估实践，通过过程性评价（观察记录、案例分析）和终结性评价（理论考核、活动设计）相结合的方式考核学习成效。实践教学需在标准化实训室完成。</w:t>
      </w:r>
    </w:p>
    <w:p w14:paraId="47504470">
      <w:pPr>
        <w:ind w:firstLine="640" w:firstLineChars="200"/>
        <w:rPr>
          <w:rFonts w:ascii="仿宋_GB2312"/>
        </w:rPr>
      </w:pPr>
      <w:r>
        <w:rPr>
          <w:rFonts w:hint="eastAsia" w:ascii="仿宋_GB2312"/>
        </w:rPr>
        <w:t>（11）婴幼儿照护服务政策法规(36学时、2学分)</w:t>
      </w:r>
    </w:p>
    <w:p w14:paraId="123CF6E9">
      <w:pPr>
        <w:ind w:firstLine="640" w:firstLineChars="200"/>
        <w:rPr>
          <w:rFonts w:ascii="仿宋_GB2312"/>
        </w:rPr>
      </w:pPr>
      <w:r>
        <w:rPr>
          <w:rFonts w:hint="eastAsia" w:ascii="仿宋_GB2312"/>
        </w:rPr>
        <w:t>课程目标：本课程旨在帮助学生系统掌握婴幼儿照护服务领域的政策法规体系，重点理解《国务院办公厅关于促进3岁以下婴幼儿照护服务发展的指导意见》《托育机构设置标准》等核心政策文件。通过课程学习，培养学生依法开展托育服务的职业能力，提升其政策执行力和法律意识。</w:t>
      </w:r>
    </w:p>
    <w:p w14:paraId="2B6DD29A">
      <w:pPr>
        <w:ind w:firstLine="640" w:firstLineChars="200"/>
        <w:rPr>
          <w:rFonts w:ascii="仿宋_GB2312"/>
        </w:rPr>
      </w:pPr>
      <w:r>
        <w:rPr>
          <w:rFonts w:hint="eastAsia" w:ascii="仿宋_GB2312"/>
        </w:rPr>
        <w:t>主要内容：婴幼儿照护服务政策法规体系、托育机构设置与管理规范、从业人员资质要求、婴幼儿权益保障法规、安全卫生标准、监督管理机制等核心内容。重点解读国家及地方最新出台的婴幼儿照护服务相关政策文件。</w:t>
      </w:r>
    </w:p>
    <w:p w14:paraId="39E4EFA8">
      <w:pPr>
        <w:ind w:firstLine="640" w:firstLineChars="200"/>
        <w:rPr>
          <w:rFonts w:ascii="仿宋_GB2312"/>
        </w:rPr>
      </w:pPr>
      <w:r>
        <w:rPr>
          <w:rFonts w:hint="eastAsia" w:ascii="仿宋_GB2312"/>
        </w:rPr>
        <w:t>教学要求：采用案例教学与情境模拟相结合的方式，理论教学与实践应用占比各50%。要求每章节学习后完成政策法规案例分析报告相关作业。</w:t>
      </w:r>
    </w:p>
    <w:p w14:paraId="1A025FA1">
      <w:pPr>
        <w:ind w:firstLine="640" w:firstLineChars="200"/>
        <w:rPr>
          <w:rFonts w:ascii="仿宋_GB2312"/>
        </w:rPr>
      </w:pPr>
      <w:r>
        <w:rPr>
          <w:rFonts w:hint="eastAsia" w:ascii="仿宋_GB2312"/>
        </w:rPr>
        <w:t>（12）婴幼儿营养与喂养</w:t>
      </w:r>
      <w:bookmarkStart w:id="3" w:name="OLE_LINK2"/>
      <w:bookmarkStart w:id="4" w:name="OLE_LINK3"/>
      <w:r>
        <w:rPr>
          <w:rFonts w:hint="eastAsia" w:ascii="仿宋_GB2312"/>
        </w:rPr>
        <w:t>(80学时、5学分)</w:t>
      </w:r>
      <w:bookmarkEnd w:id="3"/>
    </w:p>
    <w:bookmarkEnd w:id="4"/>
    <w:p w14:paraId="187B16AF">
      <w:pPr>
        <w:ind w:firstLine="640" w:firstLineChars="200"/>
        <w:rPr>
          <w:rFonts w:ascii="仿宋_GB2312"/>
        </w:rPr>
      </w:pPr>
      <w:r>
        <w:rPr>
          <w:rFonts w:hint="eastAsia" w:ascii="仿宋_GB2312"/>
        </w:rPr>
        <w:t>课程目标：本课程旨在培养学生掌握0-3岁婴幼儿营养需求和科学喂养的专业知识与技能。通过系统学习，使学生能够根据婴幼儿不同发展阶段的特点，制定合理的膳食计划，指导家长实施科学喂养，预防和识别常见的营养问题，促进婴幼儿健康成长。</w:t>
      </w:r>
    </w:p>
    <w:p w14:paraId="33E9B2DC">
      <w:pPr>
        <w:ind w:firstLine="640" w:firstLineChars="200"/>
        <w:rPr>
          <w:rFonts w:ascii="仿宋_GB2312"/>
        </w:rPr>
      </w:pPr>
      <w:r>
        <w:rPr>
          <w:rFonts w:hint="eastAsia" w:ascii="仿宋_GB2312"/>
        </w:rPr>
        <w:t>主要内容：婴幼儿各阶段营养需求特点、母乳喂养与配方奶喂养指导、辅食添加原则与方法、常见营养缺乏症预防、特殊体质婴幼儿膳食管理、食品安全与饮食卫生等核心内容。重点涵盖婴幼儿喂养的最新国家标准和行业规范。</w:t>
      </w:r>
    </w:p>
    <w:p w14:paraId="2D6C5F1A">
      <w:pPr>
        <w:ind w:firstLine="640" w:firstLineChars="200"/>
        <w:rPr>
          <w:rFonts w:ascii="仿宋_GB2312"/>
        </w:rPr>
      </w:pPr>
      <w:r>
        <w:rPr>
          <w:rFonts w:hint="eastAsia" w:ascii="仿宋_GB2312"/>
        </w:rPr>
        <w:t>教学要求：采用理论讲解与实践操作相结合的方式，理论教学占比40%，实践训练占比60%。要求每单元学习后完成喂养方案设计作业，定期开展婴幼儿膳食配比实操训练。</w:t>
      </w:r>
    </w:p>
    <w:p w14:paraId="6947C8AE">
      <w:pPr>
        <w:numPr>
          <w:ilvl w:val="0"/>
          <w:numId w:val="0"/>
        </w:numPr>
        <w:overflowPunct w:val="0"/>
        <w:adjustRightInd w:val="0"/>
        <w:rPr>
          <w:rFonts w:ascii="仿宋_GB2312"/>
        </w:rPr>
      </w:pPr>
      <w:r>
        <w:rPr>
          <w:rFonts w:hint="eastAsia" w:ascii="仿宋_GB2312"/>
          <w:b/>
          <w:bCs/>
          <w:lang w:val="en-US" w:eastAsia="zh-CN"/>
        </w:rPr>
        <w:t>2.</w:t>
      </w:r>
      <w:r>
        <w:rPr>
          <w:rFonts w:hint="eastAsia" w:ascii="仿宋_GB2312"/>
          <w:b/>
          <w:bCs/>
        </w:rPr>
        <w:t>专业核心课</w:t>
      </w:r>
    </w:p>
    <w:p w14:paraId="1939E270">
      <w:pPr>
        <w:ind w:firstLine="640" w:firstLineChars="200"/>
        <w:rPr>
          <w:rFonts w:ascii="仿宋_GB2312"/>
        </w:rPr>
      </w:pPr>
      <w:r>
        <w:rPr>
          <w:rFonts w:hint="eastAsia" w:ascii="仿宋_GB2312"/>
        </w:rPr>
        <w:t>（1）0-3岁婴幼儿早期教育指导(80学时、5学分)</w:t>
      </w:r>
    </w:p>
    <w:p w14:paraId="1EE303BF">
      <w:pPr>
        <w:ind w:firstLine="640" w:firstLineChars="200"/>
        <w:rPr>
          <w:rFonts w:ascii="仿宋_GB2312"/>
        </w:rPr>
      </w:pPr>
      <w:r>
        <w:rPr>
          <w:rFonts w:hint="eastAsia" w:ascii="仿宋_GB2312"/>
        </w:rPr>
        <w:t>课程目标：使学生了解 0-3 岁婴幼儿玩具与游戏的教育价值，掌握不同类型玩具的特点、选择标准及使用方法，能够根据婴幼儿发展阶段设计有趣且富有教育意义的游戏活动，培养学生创新设计游戏的能力，提升学生运用玩具与游戏促进婴幼儿全面发展的专业技能。</w:t>
      </w:r>
    </w:p>
    <w:p w14:paraId="7E69A234">
      <w:pPr>
        <w:ind w:firstLine="640" w:firstLineChars="200"/>
        <w:rPr>
          <w:rFonts w:ascii="仿宋_GB2312"/>
        </w:rPr>
      </w:pPr>
      <w:r>
        <w:rPr>
          <w:rFonts w:hint="eastAsia" w:ascii="仿宋_GB2312"/>
        </w:rPr>
        <w:t>课程内容：课程包含婴幼儿玩具的分类、功能及教育特性；玩具选择的原则与方法，考虑安全性、适龄性、趣味性等因素；婴幼儿游戏的理论基础，如游戏的起源、发展及对婴幼儿的影响；游戏设计与实施，涵盖运动游戏、认知游戏、语言游戏、艺术游戏等；玩具与游戏的创新开发，鼓励学生结合实际进行创意设计。</w:t>
      </w:r>
    </w:p>
    <w:p w14:paraId="13FD2C4B">
      <w:pPr>
        <w:ind w:firstLine="640" w:firstLineChars="200"/>
        <w:rPr>
          <w:rFonts w:ascii="仿宋_GB2312"/>
        </w:rPr>
      </w:pPr>
      <w:r>
        <w:rPr>
          <w:rFonts w:hint="eastAsia" w:ascii="仿宋_GB2312"/>
        </w:rPr>
        <w:t>教学要求：理论教学注重讲解玩具与游戏的基础理论和前沿研究成果；实践教学安排学生进行玩具分析、游戏设计与模拟实施，组织学生到托幼机构开展游戏实践活动；邀请行业专家分享经验与案例；课程考核通过玩具分析报告、游戏设计方案、实践操作展示及平时表现进行综合评价。</w:t>
      </w:r>
    </w:p>
    <w:p w14:paraId="5537FFD5">
      <w:pPr>
        <w:ind w:firstLine="640" w:firstLineChars="200"/>
        <w:rPr>
          <w:rFonts w:ascii="仿宋_GB2312"/>
        </w:rPr>
      </w:pPr>
      <w:r>
        <w:rPr>
          <w:rFonts w:hint="eastAsia" w:ascii="仿宋_GB2312"/>
        </w:rPr>
        <w:t>（2）婴幼儿游戏活动实践(80学时、5学分)</w:t>
      </w:r>
    </w:p>
    <w:p w14:paraId="342B0F23">
      <w:pPr>
        <w:ind w:firstLine="640" w:firstLineChars="200"/>
        <w:rPr>
          <w:rFonts w:ascii="仿宋_GB2312"/>
        </w:rPr>
      </w:pPr>
      <w:r>
        <w:rPr>
          <w:rFonts w:hint="eastAsia" w:ascii="仿宋_GB2312"/>
        </w:rPr>
        <w:t>本课程以 “在玩中学、在乐中长” 为核心理念，其学习宗旨在于尊重婴幼儿身心发展规律，通过多样化、趣味化的游戏活动，为婴幼儿创设安全、自由且充满探索性的成长环境；培养目标是促进婴幼儿在身体动作、认知能力、语言表达、社会交往及情感发展等方面的全面提升，激发其好奇心与创造力，帮助婴幼儿建立积极的自我认知与情感体验，为终身学习与健康成长奠定坚实基础。</w:t>
      </w:r>
    </w:p>
    <w:p w14:paraId="49C83616">
      <w:pPr>
        <w:ind w:firstLine="640" w:firstLineChars="200"/>
        <w:rPr>
          <w:rFonts w:ascii="仿宋_GB2312"/>
        </w:rPr>
      </w:pPr>
      <w:r>
        <w:rPr>
          <w:rFonts w:hint="eastAsia" w:ascii="仿宋_GB2312"/>
        </w:rPr>
        <w:t>（3）婴幼儿回应性照护(112学时、7学分)</w:t>
      </w:r>
    </w:p>
    <w:p w14:paraId="2DB49960">
      <w:pPr>
        <w:ind w:firstLine="640" w:firstLineChars="200"/>
        <w:rPr>
          <w:rFonts w:ascii="仿宋_GB2312"/>
        </w:rPr>
      </w:pPr>
      <w:r>
        <w:rPr>
          <w:rFonts w:hint="eastAsia" w:ascii="仿宋_GB2312"/>
        </w:rPr>
        <w:t>本课程旨在帮助学生系统掌握婴幼儿照护服务领域的政策法规体系，重点理解《国务院办公厅关于促进3岁以下婴幼儿照护服务发展的指导意见》《托育机构设置标准》等核心政策文件。通过课程学习，培养学生依法开展托育服务的职业能力，提升其政策执行力和法律意识。</w:t>
      </w:r>
    </w:p>
    <w:p w14:paraId="01BFEC15">
      <w:pPr>
        <w:ind w:firstLine="640" w:firstLineChars="200"/>
        <w:rPr>
          <w:rFonts w:ascii="仿宋_GB2312"/>
        </w:rPr>
      </w:pPr>
      <w:r>
        <w:rPr>
          <w:rFonts w:hint="eastAsia" w:ascii="仿宋_GB2312"/>
        </w:rPr>
        <w:t>主要内容：婴幼儿照护服务政策法规体系、托育机构设置与管理规范、从业人员资质要求、婴幼儿权益保障法规、安全卫生标准、监督管理机制等核心内容。重点解读国家及地方最新出台的婴幼儿照护服务相关政策文件。</w:t>
      </w:r>
    </w:p>
    <w:p w14:paraId="0E379EF2">
      <w:pPr>
        <w:ind w:firstLine="640" w:firstLineChars="200"/>
        <w:rPr>
          <w:rFonts w:ascii="仿宋_GB2312"/>
        </w:rPr>
      </w:pPr>
      <w:r>
        <w:rPr>
          <w:rFonts w:hint="eastAsia" w:ascii="仿宋_GB2312"/>
        </w:rPr>
        <w:t>教学要求：采用案例教学与情境模拟相结合的方式，理论教学与实践应用占比各50%。要求每章节学习后完成政策法规案例分析报告相关作业。</w:t>
      </w:r>
    </w:p>
    <w:p w14:paraId="330CC364">
      <w:pPr>
        <w:ind w:firstLine="640" w:firstLineChars="200"/>
        <w:rPr>
          <w:rFonts w:ascii="仿宋_GB2312"/>
        </w:rPr>
      </w:pPr>
      <w:r>
        <w:rPr>
          <w:rFonts w:hint="eastAsia" w:ascii="仿宋_GB2312"/>
        </w:rPr>
        <w:t>（4）婴幼儿伤害预防与处理(80学时、5学分)</w:t>
      </w:r>
    </w:p>
    <w:p w14:paraId="112137A2">
      <w:pPr>
        <w:ind w:firstLine="640" w:firstLineChars="200"/>
        <w:rPr>
          <w:rFonts w:ascii="仿宋_GB2312"/>
        </w:rPr>
      </w:pPr>
      <w:r>
        <w:rPr>
          <w:rFonts w:hint="eastAsia" w:ascii="仿宋_GB2312"/>
        </w:rPr>
        <w:t>本课程围绕守护婴幼儿生命安全展开，旨在通过系统教学，提升相关人员对婴幼儿伤害风险的认知与防控意识。其培养目标是让学习者熟练掌握常见伤害场景的预防策略，精准识别潜在危险，同时具备高效、科学的伤害应急处理能力，最大程度降低伤害发生概率与危害程度，为婴幼儿健康成长筑牢安全防线。</w:t>
      </w:r>
    </w:p>
    <w:p w14:paraId="7ABF5C9A">
      <w:pPr>
        <w:ind w:firstLine="640" w:firstLineChars="200"/>
        <w:rPr>
          <w:rFonts w:hint="eastAsia" w:ascii="仿宋_GB2312"/>
        </w:rPr>
      </w:pPr>
      <w:r>
        <w:rPr>
          <w:rFonts w:hint="eastAsia" w:ascii="仿宋_GB2312"/>
        </w:rPr>
        <w:t>（5）婴幼儿行为观察与记录(112学时、7学分)</w:t>
      </w:r>
    </w:p>
    <w:p w14:paraId="3C7ACC93">
      <w:pPr>
        <w:ind w:firstLine="640" w:firstLineChars="200"/>
        <w:rPr>
          <w:rFonts w:hint="eastAsia" w:ascii="仿宋_GB2312"/>
        </w:rPr>
      </w:pPr>
      <w:r>
        <w:rPr>
          <w:rFonts w:hint="eastAsia" w:ascii="仿宋_GB2312"/>
        </w:rPr>
        <w:t>本课程秉持 “看见行为，读懂成长” 的理念，其学习宗旨是引导学习者以科学、专业的视角，深入理解婴幼儿行为背后的发展需求与心理状态；培养目标在于使学习者掌握系统、规范的观察方法与记录技巧，能够敏锐捕捉婴幼儿行为细节，客观分析其行为特点与发展规律，为个性化教育支持、早期发展干预及科学育儿指导提供坚实依据，助力婴幼儿身心健康发展。</w:t>
      </w:r>
    </w:p>
    <w:p w14:paraId="452791F3">
      <w:pPr>
        <w:ind w:firstLine="640" w:firstLineChars="200"/>
        <w:rPr>
          <w:rFonts w:hint="eastAsia" w:ascii="仿宋_GB2312"/>
        </w:rPr>
      </w:pPr>
      <w:r>
        <w:rPr>
          <w:rFonts w:hint="eastAsia" w:ascii="仿宋_GB2312"/>
        </w:rPr>
        <w:t>（6）婴幼儿常见疾病与预防(80学时、5学分)</w:t>
      </w:r>
    </w:p>
    <w:p w14:paraId="4874A2A9">
      <w:pPr>
        <w:ind w:firstLine="640" w:firstLineChars="200"/>
        <w:rPr>
          <w:rFonts w:hint="eastAsia" w:ascii="仿宋_GB2312"/>
        </w:rPr>
      </w:pPr>
      <w:r>
        <w:rPr>
          <w:rFonts w:hint="eastAsia" w:ascii="仿宋_GB2312"/>
        </w:rPr>
        <w:t>本课程聚焦婴幼儿健康成长，学习宗旨是帮助学习者树立科学健康观念，掌握专业医学知识与健康管理技能；培养目标是让学习者能够精准识别婴幼儿常见疾病的症状表现，了解疾病发生发展规律，熟练运用有效的预防措施和日常护理方法，降低婴幼儿患病风险，在疾病发生时能及时察觉并采取恰当应对手段，保障婴幼儿的身体健康与生命安全 。</w:t>
      </w:r>
    </w:p>
    <w:p w14:paraId="7C8F976C">
      <w:pPr>
        <w:ind w:firstLine="640" w:firstLineChars="200"/>
        <w:rPr>
          <w:rFonts w:ascii="仿宋_GB2312"/>
        </w:rPr>
      </w:pPr>
      <w:r>
        <w:rPr>
          <w:rFonts w:hint="eastAsia" w:ascii="仿宋_GB2312"/>
        </w:rPr>
        <w:t>（7）婴幼儿家园共育(80学时、5学分)</w:t>
      </w:r>
    </w:p>
    <w:p w14:paraId="333AFF30">
      <w:pPr>
        <w:ind w:firstLine="640" w:firstLineChars="200"/>
        <w:rPr>
          <w:rFonts w:ascii="仿宋_GB2312"/>
        </w:rPr>
      </w:pPr>
      <w:r>
        <w:rPr>
          <w:rFonts w:hint="eastAsia" w:ascii="仿宋_GB2312"/>
        </w:rPr>
        <w:t>课程目标：本课程旨在培养学生掌握0-3岁婴幼儿家园共育的专业理念与实践技能。通过系统学习，使学生能够构建有效的家园沟通机制，指导家长实施科学育儿，促进婴幼儿在家庭和托育机构两个环境中的协调发展，提升照护服务的整体质量。</w:t>
      </w:r>
    </w:p>
    <w:p w14:paraId="5224FC44">
      <w:pPr>
        <w:ind w:firstLine="640" w:firstLineChars="200"/>
        <w:rPr>
          <w:rFonts w:ascii="仿宋_GB2312"/>
        </w:rPr>
      </w:pPr>
      <w:r>
        <w:rPr>
          <w:rFonts w:hint="eastAsia" w:ascii="仿宋_GB2312"/>
        </w:rPr>
        <w:t>主要内容：家园共育理论基础、家长沟通技巧、家庭教育指导策略、家园活动设计与实施、特殊需求家庭支持、家园矛盾调解等核心内容。重点涵盖《婴幼儿家园共育指导纲要》等最新政策文件要求。</w:t>
      </w:r>
    </w:p>
    <w:p w14:paraId="13A6418B">
      <w:pPr>
        <w:ind w:firstLine="640" w:firstLineChars="200"/>
        <w:rPr>
          <w:rFonts w:ascii="仿宋_GB2312"/>
        </w:rPr>
      </w:pPr>
      <w:r>
        <w:rPr>
          <w:rFonts w:hint="eastAsia" w:ascii="仿宋_GB2312"/>
        </w:rPr>
        <w:t>教学要求：采用案例分析与情景模拟相结合的方式，理论教学占比40%，实践训练占比60%。要求每单元学习后完成家园沟通方案设计的作业，下节课抽取部分学生进行分享，并定期开展案例模拟演练。</w:t>
      </w:r>
    </w:p>
    <w:p w14:paraId="28243006">
      <w:pPr>
        <w:ind w:firstLine="643" w:firstLineChars="200"/>
        <w:rPr>
          <w:rFonts w:ascii="仿宋_GB2312"/>
          <w:b/>
          <w:bCs/>
        </w:rPr>
      </w:pPr>
      <w:r>
        <w:rPr>
          <w:rFonts w:hint="eastAsia" w:ascii="仿宋_GB2312"/>
          <w:b/>
          <w:bCs/>
        </w:rPr>
        <w:t>3.专业拓展课</w:t>
      </w:r>
    </w:p>
    <w:p w14:paraId="7C35CC57">
      <w:pPr>
        <w:ind w:firstLine="640" w:firstLineChars="200"/>
        <w:rPr>
          <w:rFonts w:ascii="仿宋_GB2312"/>
        </w:rPr>
      </w:pPr>
      <w:r>
        <w:rPr>
          <w:rFonts w:hint="eastAsia" w:ascii="仿宋_GB2312"/>
        </w:rPr>
        <w:t>（1）0-3岁婴幼儿玩具与游戏（64学时、4学分）</w:t>
      </w:r>
    </w:p>
    <w:p w14:paraId="1DB4859D">
      <w:pPr>
        <w:ind w:firstLine="640" w:firstLineChars="200"/>
        <w:rPr>
          <w:rFonts w:ascii="仿宋_GB2312"/>
        </w:rPr>
      </w:pPr>
      <w:r>
        <w:rPr>
          <w:rFonts w:hint="eastAsia" w:ascii="仿宋_GB2312"/>
        </w:rPr>
        <w:t>课程目标：帮助学生系统掌握 0-3 岁婴幼儿身心发展规律与特点，熟练运用科学的早期教育理念和方法，能够根据婴幼儿个体差异设计并实施个性化早期教育方案，具备观察、评估婴幼儿发展状况的能力，培养热爱早期教育事业的专业素养，为从事婴幼儿早期教育工作奠定坚实基础。</w:t>
      </w:r>
    </w:p>
    <w:p w14:paraId="686F2822">
      <w:pPr>
        <w:ind w:firstLine="640" w:firstLineChars="200"/>
        <w:rPr>
          <w:rFonts w:ascii="仿宋_GB2312"/>
        </w:rPr>
      </w:pPr>
      <w:r>
        <w:rPr>
          <w:rFonts w:hint="eastAsia" w:ascii="仿宋_GB2312"/>
        </w:rPr>
        <w:t>课程内容：课程涵盖婴幼儿生理发育、心理发展、认知能力、语言发展、社会性发展等理论知识；早期教育活动设计与组织，包括亲子活动、感官训练、音乐启蒙、运动发展等课程；婴幼儿发展评估方法与工具使用；家庭早期教育指导策略，指导家长开展科学育儿。</w:t>
      </w:r>
    </w:p>
    <w:p w14:paraId="5545DFB4">
      <w:pPr>
        <w:ind w:firstLine="640" w:firstLineChars="200"/>
        <w:rPr>
          <w:rFonts w:ascii="仿宋_GB2312"/>
        </w:rPr>
      </w:pPr>
      <w:r>
        <w:rPr>
          <w:rFonts w:hint="eastAsia" w:ascii="仿宋_GB2312"/>
        </w:rPr>
        <w:t>教学要求：教学采用理论讲授、案例分析、模拟实践、实地观察等多种教学方法相结合。理论部分要求学生掌握核心概念与理论体系，通过课堂讨论加深理解；实践环节安排学生到早教机构观摩学习，参与早期教育活动设计与实施，提升实际操作能力；定期组织小组研讨，分享学习心得与实践经验；课程考核包括理论考试、实践操作考核、课程作业与平时表现综合评定。</w:t>
      </w:r>
    </w:p>
    <w:p w14:paraId="0529506A">
      <w:pPr>
        <w:ind w:firstLine="640" w:firstLineChars="200"/>
        <w:rPr>
          <w:rFonts w:ascii="仿宋_GB2312"/>
        </w:rPr>
      </w:pPr>
      <w:r>
        <w:rPr>
          <w:rFonts w:hint="eastAsia" w:ascii="仿宋_GB2312"/>
        </w:rPr>
        <w:t>（2）幼儿感统训练(64学时、4学分)</w:t>
      </w:r>
    </w:p>
    <w:p w14:paraId="3DA64965">
      <w:pPr>
        <w:ind w:firstLine="640" w:firstLineChars="200"/>
        <w:rPr>
          <w:rFonts w:ascii="仿宋_GB2312"/>
        </w:rPr>
      </w:pPr>
      <w:r>
        <w:rPr>
          <w:rFonts w:hint="eastAsia" w:ascii="仿宋_GB2312"/>
        </w:rPr>
        <w:t>课程目标：本课程旨在培养学生掌握0-6岁儿童感觉统合训练的基本理论和实操技能。通过系统学习，使学生能够识别儿童感觉统合失调的表现特征，设计并实施科学的感统训练方案，促进儿童感知觉、动作协调和专注力等能力的发展。</w:t>
      </w:r>
    </w:p>
    <w:p w14:paraId="62E22403">
      <w:pPr>
        <w:ind w:firstLine="640" w:firstLineChars="200"/>
        <w:rPr>
          <w:rFonts w:ascii="仿宋_GB2312"/>
        </w:rPr>
      </w:pPr>
      <w:r>
        <w:rPr>
          <w:rFonts w:hint="eastAsia" w:ascii="仿宋_GB2312"/>
        </w:rPr>
        <w:t>主要内容：感觉统合理论基础、感统失调评估方法、感统训练器材使用、训练活动设计、家庭指导策略、特殊需求儿童感统训练调整等核心内容。重点涵盖《特殊儿童教育康复机构服务规范》中感统训练相关要求。</w:t>
      </w:r>
    </w:p>
    <w:p w14:paraId="7339C9DB">
      <w:pPr>
        <w:ind w:firstLine="640" w:firstLineChars="200"/>
        <w:rPr>
          <w:rFonts w:ascii="仿宋_GB2312"/>
        </w:rPr>
      </w:pPr>
      <w:r>
        <w:rPr>
          <w:rFonts w:hint="eastAsia" w:ascii="仿宋_GB2312"/>
        </w:rPr>
        <w:t>教学要求：采用理论讲解与实操训练相结合的方式，理论教学占比40%，实践训练占比60%。要求学习后完成个案训练方案设计，定期开展感统训练实操演练。</w:t>
      </w:r>
    </w:p>
    <w:p w14:paraId="7489C736">
      <w:pPr>
        <w:ind w:firstLine="640" w:firstLineChars="200"/>
        <w:rPr>
          <w:rFonts w:ascii="仿宋_GB2312"/>
        </w:rPr>
      </w:pPr>
      <w:r>
        <w:rPr>
          <w:rFonts w:hint="eastAsia" w:ascii="仿宋_GB2312"/>
        </w:rPr>
        <w:t>（3）幼儿弹唱(64学时、4学分)</w:t>
      </w:r>
    </w:p>
    <w:p w14:paraId="3DE3930A">
      <w:pPr>
        <w:ind w:firstLine="640" w:firstLineChars="200"/>
        <w:rPr>
          <w:rFonts w:ascii="仿宋_GB2312"/>
        </w:rPr>
      </w:pPr>
      <w:r>
        <w:rPr>
          <w:rFonts w:hint="eastAsia" w:ascii="仿宋_GB2312"/>
        </w:rPr>
        <w:t>课程目标：本课程旨在培养学生掌握幼儿园音乐教育活动所需的弹唱基础技能。通过系统训练，使学生能够运用钢琴伴奏技巧，熟练弹唱幼儿园常用歌曲，具备组织幼儿音乐活动的基本能力，为开展幼儿园音乐教学奠定专业技能基础。</w:t>
      </w:r>
    </w:p>
    <w:p w14:paraId="145B7034">
      <w:pPr>
        <w:ind w:firstLine="640" w:firstLineChars="200"/>
        <w:rPr>
          <w:rFonts w:ascii="仿宋_GB2312"/>
        </w:rPr>
      </w:pPr>
      <w:r>
        <w:rPr>
          <w:rFonts w:hint="eastAsia" w:ascii="仿宋_GB2312"/>
        </w:rPr>
        <w:t>主要内容：钢琴基础指法训练、儿童歌曲伴奏编配、幼儿歌曲弹唱技巧、音乐活动组织方法、即兴伴奏创作等核心内容。重点涵盖相关文件中“艺术表现与创造能力”相关要求。</w:t>
      </w:r>
    </w:p>
    <w:p w14:paraId="6CFF71F5">
      <w:pPr>
        <w:ind w:firstLine="640" w:firstLineChars="200"/>
        <w:rPr>
          <w:rFonts w:ascii="仿宋_GB2312"/>
        </w:rPr>
      </w:pPr>
      <w:r>
        <w:rPr>
          <w:rFonts w:hint="eastAsia" w:ascii="仿宋_GB2312"/>
        </w:rPr>
        <w:t>教学要求：采用个别指导与集体训练相结合的方式，理论讲解占比20%，技能训练占比80%。要求学生认真学习理论知识，每周完成指定曲目弹唱作业。</w:t>
      </w:r>
    </w:p>
    <w:p w14:paraId="29B0F6BB">
      <w:pPr>
        <w:ind w:firstLine="640" w:firstLineChars="200"/>
        <w:rPr>
          <w:rFonts w:ascii="仿宋_GB2312"/>
        </w:rPr>
      </w:pPr>
      <w:r>
        <w:rPr>
          <w:rFonts w:hint="eastAsia" w:ascii="仿宋_GB2312"/>
        </w:rPr>
        <w:t>（4）幼儿律动与舞蹈(64学时、4学分)</w:t>
      </w:r>
    </w:p>
    <w:p w14:paraId="69E57558">
      <w:pPr>
        <w:ind w:firstLine="640" w:firstLineChars="200"/>
        <w:rPr>
          <w:rFonts w:ascii="仿宋_GB2312"/>
        </w:rPr>
      </w:pPr>
      <w:r>
        <w:rPr>
          <w:rFonts w:hint="eastAsia" w:ascii="仿宋_GB2312"/>
        </w:rPr>
        <w:t>课程目标：本课程旨在培养学生掌握幼儿园音乐教育活动中所需的律动与舞蹈教学技能。通过系统学习，使学生能够根据幼儿身心发展特点，设计并组织实施适合婴幼儿的律动游戏和舞蹈活动，促进婴幼儿动作协调性、节奏感和表现力的发展。</w:t>
      </w:r>
    </w:p>
    <w:p w14:paraId="62F67C9B">
      <w:pPr>
        <w:ind w:firstLine="640" w:firstLineChars="200"/>
        <w:rPr>
          <w:rFonts w:ascii="仿宋_GB2312"/>
        </w:rPr>
      </w:pPr>
      <w:r>
        <w:rPr>
          <w:rFonts w:hint="eastAsia" w:ascii="仿宋_GB2312"/>
        </w:rPr>
        <w:t>主要内容：幼儿律动基本理论、常用律动游戏设计、幼儿舞蹈基本动作、舞蹈创编方法、音乐与动作的协调配合、活动组织策略等核心内容。</w:t>
      </w:r>
    </w:p>
    <w:p w14:paraId="374A9980">
      <w:pPr>
        <w:ind w:firstLine="640" w:firstLineChars="200"/>
        <w:rPr>
          <w:rFonts w:ascii="仿宋_GB2312"/>
        </w:rPr>
      </w:pPr>
      <w:r>
        <w:rPr>
          <w:rFonts w:hint="eastAsia" w:ascii="仿宋_GB2312"/>
        </w:rPr>
        <w:t>教学要求：采用示范教学与实操训练相结合的方式，理论讲解占比60%，实践训练占比40%。要求理论学习结束后完成律动活动设计方案。</w:t>
      </w:r>
    </w:p>
    <w:p w14:paraId="1D9AD84F">
      <w:pPr>
        <w:ind w:firstLine="640" w:firstLineChars="200"/>
        <w:rPr>
          <w:rFonts w:ascii="仿宋_GB2312"/>
        </w:rPr>
      </w:pPr>
      <w:r>
        <w:rPr>
          <w:rFonts w:hint="eastAsia" w:ascii="仿宋_GB2312"/>
        </w:rPr>
        <w:t>（5）幼儿美术教育(64学时、4学分)</w:t>
      </w:r>
    </w:p>
    <w:p w14:paraId="49A9FC63">
      <w:pPr>
        <w:ind w:firstLine="640" w:firstLineChars="200"/>
        <w:rPr>
          <w:rFonts w:ascii="仿宋_GB2312"/>
        </w:rPr>
      </w:pPr>
      <w:r>
        <w:rPr>
          <w:rFonts w:hint="eastAsia" w:ascii="仿宋_GB2312"/>
        </w:rPr>
        <w:t>课程目标：本课程旨在培养学生掌握幼儿美术教育的基本理论和教学方法。通过系统学习，使学生能够根据幼儿美术能力发展特点，设计并组织实施符合幼儿认知水平的绘画、手工等美术活动，培养幼儿审美能力、创造力和艺术表现力。</w:t>
      </w:r>
    </w:p>
    <w:p w14:paraId="2A86AD97">
      <w:pPr>
        <w:ind w:firstLine="640" w:firstLineChars="200"/>
        <w:rPr>
          <w:rFonts w:ascii="仿宋_GB2312"/>
        </w:rPr>
      </w:pPr>
      <w:r>
        <w:rPr>
          <w:rFonts w:hint="eastAsia" w:ascii="仿宋_GB2312"/>
        </w:rPr>
        <w:t>主要内容：幼儿美术发展特点、绘画活动指导、手工制作指导、美术欣赏活动设计、环境创设中的美术元素运用、作品评价方法等核心内容。</w:t>
      </w:r>
    </w:p>
    <w:p w14:paraId="45A3E6BC">
      <w:pPr>
        <w:ind w:firstLine="640" w:firstLineChars="200"/>
        <w:rPr>
          <w:rFonts w:ascii="仿宋_GB2312"/>
        </w:rPr>
      </w:pPr>
      <w:r>
        <w:rPr>
          <w:rFonts w:hint="eastAsia" w:ascii="仿宋_GB2312"/>
        </w:rPr>
        <w:t>教学要求：采用理论讲授与实践操作相结合的方式，理论教学占比30%，实践训练占比70%。要求每个知识点结束后学生能主动完成美术活动作业。</w:t>
      </w:r>
    </w:p>
    <w:p w14:paraId="4EAFD4BE">
      <w:pPr>
        <w:ind w:firstLine="640" w:firstLineChars="200"/>
        <w:rPr>
          <w:rFonts w:ascii="仿宋_GB2312"/>
        </w:rPr>
      </w:pPr>
      <w:bookmarkStart w:id="5" w:name="OLE_LINK25"/>
      <w:r>
        <w:rPr>
          <w:rFonts w:hint="eastAsia" w:ascii="仿宋_GB2312"/>
        </w:rPr>
        <w:t>（6）托幼机构安全管理与应急预案(64学时、4学分)</w:t>
      </w:r>
      <w:bookmarkEnd w:id="5"/>
    </w:p>
    <w:p w14:paraId="5FEBEB35">
      <w:pPr>
        <w:ind w:firstLine="640" w:firstLineChars="200"/>
        <w:rPr>
          <w:rFonts w:ascii="仿宋_GB2312"/>
        </w:rPr>
      </w:pPr>
      <w:r>
        <w:rPr>
          <w:rFonts w:hint="eastAsia" w:ascii="仿宋_GB2312"/>
        </w:rPr>
        <w:t>课程目标：让学生深刻认识托幼机构安全管理的重要性，全面掌握托幼机构安全管理的法律法规、制度规范和工作流程，具备识别和评估托幼机构安全风险的能力，能够制定科学合理的安全应急预案，并在突发安全事件中有效组织应急处理，保障婴幼儿的生命安全和身心健康。​</w:t>
      </w:r>
    </w:p>
    <w:p w14:paraId="195CDA21">
      <w:pPr>
        <w:ind w:firstLine="640" w:firstLineChars="200"/>
        <w:rPr>
          <w:rFonts w:ascii="仿宋_GB2312"/>
        </w:rPr>
      </w:pPr>
      <w:r>
        <w:rPr>
          <w:rFonts w:hint="eastAsia" w:ascii="仿宋_GB2312"/>
        </w:rPr>
        <w:t>课程内容：课程涉及托幼机构安全管理相关法律法规与政策解读；托幼机构安全管理制度建设，包括设施设备安全、食品安全、卫生保健安全、消防安全等；安全风险识别与评估方法，对托幼机构各环节潜在风险进行分析；应急预案制定，涵盖自然灾害、意外伤害、传染病疫情等各类突发事件；应急处理流程与技能培训，如急救知识、疏散演练组织等；安全管理案例分析，通过实际案例总结经验教训。​</w:t>
      </w:r>
    </w:p>
    <w:p w14:paraId="2B0C2122">
      <w:pPr>
        <w:ind w:firstLine="640" w:firstLineChars="200"/>
        <w:rPr>
          <w:rFonts w:ascii="仿宋_GB2312"/>
        </w:rPr>
      </w:pPr>
      <w:r>
        <w:rPr>
          <w:rFonts w:hint="eastAsia" w:ascii="仿宋_GB2312"/>
        </w:rPr>
        <w:t>教学要求：教学以理论讲解、案例分析、模拟演练为主。理论教学帮助学生理解安全管理的核心要点和法律法规；通过大量真实案例分析，引导学生掌握风险识别和应对方法；模拟演练设置不同安全事故场景，让学生亲身体验应急处理过程，提升应急能力；课程考核由理论考试、应急预案设计、模拟演练表现及平时出勤、课堂表现等部分组成。</w:t>
      </w:r>
    </w:p>
    <w:p w14:paraId="0FFA66B0">
      <w:pPr>
        <w:widowControl/>
        <w:ind w:firstLine="960" w:firstLineChars="300"/>
        <w:jc w:val="left"/>
        <w:rPr>
          <w:rFonts w:ascii="仿宋" w:hAnsi="仿宋" w:eastAsia="仿宋" w:cs="仿宋"/>
          <w:color w:val="404040"/>
          <w:kern w:val="0"/>
          <w:szCs w:val="32"/>
          <w:shd w:val="clear" w:color="auto" w:fill="FFFFFF"/>
          <w:lang w:bidi="ar"/>
        </w:rPr>
      </w:pPr>
    </w:p>
    <w:p w14:paraId="372F14F1">
      <w:pPr>
        <w:overflowPunct w:val="0"/>
        <w:adjustRightInd w:val="0"/>
        <w:ind w:firstLine="960" w:firstLineChars="300"/>
        <w:rPr>
          <w:rFonts w:ascii="仿宋_GB2312"/>
        </w:rPr>
        <w:sectPr>
          <w:pgSz w:w="11906" w:h="16838"/>
          <w:pgMar w:top="1440" w:right="1800" w:bottom="1440" w:left="1800" w:header="851" w:footer="992" w:gutter="0"/>
          <w:cols w:space="425" w:num="1"/>
          <w:docGrid w:type="lines" w:linePitch="312" w:charSpace="0"/>
        </w:sectPr>
      </w:pPr>
    </w:p>
    <w:p w14:paraId="1C5E6C55">
      <w:pPr>
        <w:ind w:firstLine="640" w:firstLineChars="200"/>
        <w:jc w:val="left"/>
        <w:rPr>
          <w:rFonts w:ascii="仿宋_GB2312"/>
        </w:rPr>
      </w:pPr>
    </w:p>
    <w:p w14:paraId="0855083A">
      <w:pPr>
        <w:numPr>
          <w:ilvl w:val="0"/>
          <w:numId w:val="2"/>
        </w:numPr>
        <w:overflowPunct w:val="0"/>
        <w:adjustRightInd w:val="0"/>
        <w:ind w:firstLine="640" w:firstLineChars="200"/>
        <w:rPr>
          <w:rFonts w:eastAsia="黑体"/>
          <w:szCs w:val="32"/>
        </w:rPr>
      </w:pPr>
      <w:r>
        <w:rPr>
          <w:rFonts w:hint="eastAsia" w:eastAsia="黑体"/>
          <w:szCs w:val="32"/>
        </w:rPr>
        <w:t>教学进程总体安排</w:t>
      </w:r>
    </w:p>
    <w:p w14:paraId="003F42C7">
      <w:pPr>
        <w:numPr>
          <w:ilvl w:val="0"/>
          <w:numId w:val="3"/>
        </w:numPr>
        <w:ind w:firstLine="643" w:firstLineChars="200"/>
        <w:rPr>
          <w:rFonts w:ascii="楷体_GB2312" w:hAnsi="楷体_GB2312" w:eastAsia="楷体_GB2312" w:cs="楷体_GB2312"/>
          <w:b/>
          <w:bCs/>
        </w:rPr>
      </w:pPr>
      <w:r>
        <w:rPr>
          <w:rFonts w:hint="eastAsia" w:ascii="楷体_GB2312" w:hAnsi="楷体_GB2312" w:eastAsia="楷体_GB2312" w:cs="楷体_GB2312"/>
          <w:b/>
          <w:bCs/>
        </w:rPr>
        <w:t>教学进程安排表</w:t>
      </w:r>
    </w:p>
    <w:p w14:paraId="678CC93D">
      <w:pPr>
        <w:overflowPunct w:val="0"/>
        <w:adjustRightInd w:val="0"/>
        <w:spacing w:before="156" w:beforeLines="50" w:after="156" w:afterLines="50" w:line="440" w:lineRule="exact"/>
        <w:ind w:firstLine="562" w:firstLineChars="200"/>
        <w:jc w:val="center"/>
        <w:rPr>
          <w:rFonts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3婴幼儿托育服务与管理</w:t>
      </w:r>
      <w:r>
        <w:rPr>
          <w:rFonts w:hint="eastAsia" w:ascii="仿宋_GB2312" w:hAnsi="仿宋_GB2312" w:cs="仿宋_GB2312"/>
          <w:b/>
          <w:bCs/>
          <w:sz w:val="28"/>
          <w:szCs w:val="28"/>
        </w:rPr>
        <w:t>专业教学进程安排表</w:t>
      </w:r>
    </w:p>
    <w:tbl>
      <w:tblPr>
        <w:tblStyle w:val="13"/>
        <w:tblW w:w="13470" w:type="dxa"/>
        <w:tblInd w:w="93" w:type="dxa"/>
        <w:tblLayout w:type="autofit"/>
        <w:tblCellMar>
          <w:top w:w="0" w:type="dxa"/>
          <w:left w:w="108" w:type="dxa"/>
          <w:bottom w:w="0" w:type="dxa"/>
          <w:right w:w="108" w:type="dxa"/>
        </w:tblCellMar>
      </w:tblPr>
      <w:tblGrid>
        <w:gridCol w:w="397"/>
        <w:gridCol w:w="533"/>
        <w:gridCol w:w="397"/>
        <w:gridCol w:w="936"/>
        <w:gridCol w:w="3416"/>
        <w:gridCol w:w="544"/>
        <w:gridCol w:w="470"/>
        <w:gridCol w:w="492"/>
        <w:gridCol w:w="553"/>
        <w:gridCol w:w="553"/>
        <w:gridCol w:w="552"/>
        <w:gridCol w:w="512"/>
        <w:gridCol w:w="423"/>
        <w:gridCol w:w="423"/>
        <w:gridCol w:w="423"/>
        <w:gridCol w:w="423"/>
        <w:gridCol w:w="423"/>
        <w:gridCol w:w="423"/>
        <w:gridCol w:w="423"/>
        <w:gridCol w:w="577"/>
        <w:gridCol w:w="577"/>
      </w:tblGrid>
      <w:tr w14:paraId="1DF227D0">
        <w:tblPrEx>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906FDA">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性质</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53D7D6">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941995">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序号</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2F48CA">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31CC93">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课程名称</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84DDC5">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考试/考查</w:t>
            </w:r>
          </w:p>
        </w:tc>
        <w:tc>
          <w:tcPr>
            <w:tcW w:w="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BC0B4">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课程类型</w:t>
            </w:r>
          </w:p>
        </w:tc>
        <w:tc>
          <w:tcPr>
            <w:tcW w:w="21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81B8FD1">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学时和学分</w:t>
            </w:r>
          </w:p>
        </w:tc>
        <w:tc>
          <w:tcPr>
            <w:tcW w:w="462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4EC7304">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周学时</w:t>
            </w:r>
          </w:p>
        </w:tc>
      </w:tr>
      <w:tr w14:paraId="7EAFC558">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D7268">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37E25">
            <w:pPr>
              <w:jc w:val="center"/>
              <w:rPr>
                <w:rFonts w:ascii="宋体" w:hAnsi="宋体" w:eastAsia="宋体" w:cs="宋体"/>
                <w:b/>
                <w:bCs/>
                <w:color w:val="000000"/>
                <w:sz w:val="18"/>
                <w:szCs w:val="18"/>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BB731">
            <w:pPr>
              <w:jc w:val="center"/>
              <w:rPr>
                <w:rFonts w:ascii="宋体" w:hAnsi="宋体" w:eastAsia="宋体" w:cs="宋体"/>
                <w:b/>
                <w:bCs/>
                <w:color w:val="000000"/>
                <w:sz w:val="18"/>
                <w:szCs w:val="18"/>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052A6">
            <w:pPr>
              <w:jc w:val="center"/>
              <w:rPr>
                <w:rFonts w:ascii="宋体" w:hAnsi="宋体" w:eastAsia="宋体" w:cs="宋体"/>
                <w:b/>
                <w:bCs/>
                <w:color w:val="000000"/>
                <w:sz w:val="18"/>
                <w:szCs w:val="18"/>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5D1DE">
            <w:pPr>
              <w:jc w:val="center"/>
              <w:rPr>
                <w:rFonts w:ascii="宋体" w:hAnsi="宋体" w:eastAsia="宋体" w:cs="宋体"/>
                <w:b/>
                <w:bCs/>
                <w:color w:val="000000"/>
                <w:sz w:val="18"/>
                <w:szCs w:val="18"/>
              </w:rPr>
            </w:pP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7A869">
            <w:pPr>
              <w:jc w:val="center"/>
              <w:rPr>
                <w:rFonts w:ascii="宋体" w:hAnsi="宋体" w:eastAsia="宋体" w:cs="宋体"/>
                <w:b/>
                <w:bCs/>
                <w:color w:val="000000"/>
                <w:sz w:val="16"/>
                <w:szCs w:val="16"/>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11BCD">
            <w:pPr>
              <w:jc w:val="center"/>
              <w:rPr>
                <w:rFonts w:ascii="宋体" w:hAnsi="宋体" w:eastAsia="宋体" w:cs="宋体"/>
                <w:b/>
                <w:bCs/>
                <w:color w:val="000000"/>
                <w:sz w:val="16"/>
                <w:szCs w:val="16"/>
              </w:rPr>
            </w:pP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86B60">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学分</w:t>
            </w:r>
          </w:p>
        </w:tc>
        <w:tc>
          <w:tcPr>
            <w:tcW w:w="5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458027">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总学时</w:t>
            </w:r>
          </w:p>
        </w:tc>
        <w:tc>
          <w:tcPr>
            <w:tcW w:w="1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283BD4">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其中</w:t>
            </w:r>
          </w:p>
        </w:tc>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1ADA9C">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第一学年</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E56AE">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第二学年</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947BC">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第三学年</w:t>
            </w:r>
          </w:p>
        </w:tc>
        <w:tc>
          <w:tcPr>
            <w:tcW w:w="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21EAC">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第四学年</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25C4A">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第五学年</w:t>
            </w:r>
          </w:p>
        </w:tc>
      </w:tr>
      <w:tr w14:paraId="092CC234">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94155">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99139">
            <w:pPr>
              <w:jc w:val="center"/>
              <w:rPr>
                <w:rFonts w:ascii="宋体" w:hAnsi="宋体" w:eastAsia="宋体" w:cs="宋体"/>
                <w:b/>
                <w:bCs/>
                <w:color w:val="000000"/>
                <w:sz w:val="18"/>
                <w:szCs w:val="18"/>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4C6D7">
            <w:pPr>
              <w:jc w:val="center"/>
              <w:rPr>
                <w:rFonts w:ascii="宋体" w:hAnsi="宋体" w:eastAsia="宋体" w:cs="宋体"/>
                <w:b/>
                <w:bCs/>
                <w:color w:val="000000"/>
                <w:sz w:val="18"/>
                <w:szCs w:val="18"/>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F9CA3">
            <w:pPr>
              <w:jc w:val="center"/>
              <w:rPr>
                <w:rFonts w:ascii="宋体" w:hAnsi="宋体" w:eastAsia="宋体" w:cs="宋体"/>
                <w:b/>
                <w:bCs/>
                <w:color w:val="000000"/>
                <w:sz w:val="18"/>
                <w:szCs w:val="18"/>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13747">
            <w:pPr>
              <w:jc w:val="center"/>
              <w:rPr>
                <w:rFonts w:ascii="宋体" w:hAnsi="宋体" w:eastAsia="宋体" w:cs="宋体"/>
                <w:b/>
                <w:bCs/>
                <w:color w:val="000000"/>
                <w:sz w:val="18"/>
                <w:szCs w:val="18"/>
              </w:rPr>
            </w:pP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62328">
            <w:pPr>
              <w:jc w:val="center"/>
              <w:rPr>
                <w:rFonts w:ascii="宋体" w:hAnsi="宋体" w:eastAsia="宋体" w:cs="宋体"/>
                <w:b/>
                <w:bCs/>
                <w:color w:val="000000"/>
                <w:sz w:val="16"/>
                <w:szCs w:val="16"/>
              </w:rPr>
            </w:pPr>
          </w:p>
        </w:tc>
        <w:tc>
          <w:tcPr>
            <w:tcW w:w="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9A1CB">
            <w:pPr>
              <w:jc w:val="center"/>
              <w:rPr>
                <w:rFonts w:ascii="宋体" w:hAnsi="宋体" w:eastAsia="宋体" w:cs="宋体"/>
                <w:b/>
                <w:bCs/>
                <w:color w:val="000000"/>
                <w:sz w:val="16"/>
                <w:szCs w:val="16"/>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E44C8">
            <w:pPr>
              <w:jc w:val="center"/>
              <w:rPr>
                <w:rFonts w:ascii="宋体" w:hAnsi="宋体" w:eastAsia="宋体" w:cs="宋体"/>
                <w:b/>
                <w:bCs/>
                <w:color w:val="000000"/>
                <w:sz w:val="18"/>
                <w:szCs w:val="18"/>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F1442">
            <w:pPr>
              <w:jc w:val="center"/>
              <w:rPr>
                <w:rFonts w:ascii="宋体" w:hAnsi="宋体" w:eastAsia="宋体" w:cs="宋体"/>
                <w:b/>
                <w:bCs/>
                <w:color w:val="000000"/>
                <w:sz w:val="18"/>
                <w:szCs w:val="18"/>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A3738">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理论</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B63A1">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实践</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E5A1C">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159A5">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二</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7D05">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0914B">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四</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13B75">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五</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4F1B1">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六</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91753">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F5D49">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八</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9FB39">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47D53">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十</w:t>
            </w:r>
          </w:p>
        </w:tc>
      </w:tr>
      <w:tr w14:paraId="0DF0DD27">
        <w:tblPrEx>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84C840">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公共基础课</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8F3D16">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37CC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8A01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7599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中国特色社会主义</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22A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8961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CB01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6832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A5E6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8B72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7E88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085B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8BA5B6">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A176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2DA39">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03CCC">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4A2E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16CA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C625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983A">
            <w:pPr>
              <w:jc w:val="center"/>
              <w:rPr>
                <w:rFonts w:ascii="宋体" w:hAnsi="宋体" w:eastAsia="宋体" w:cs="宋体"/>
                <w:color w:val="000000"/>
                <w:sz w:val="16"/>
                <w:szCs w:val="16"/>
              </w:rPr>
            </w:pPr>
          </w:p>
        </w:tc>
      </w:tr>
      <w:tr w14:paraId="35C723CE">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F7A43">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047EFFF">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061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6AD4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C134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心理健康与职业生涯</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C90D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26D0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D231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56B4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2B4B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0751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136B08F">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410F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97390">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AEE1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D8A64">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BF5F0">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D21A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9182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98E60">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4FAF9">
            <w:pPr>
              <w:jc w:val="center"/>
              <w:rPr>
                <w:rFonts w:ascii="宋体" w:hAnsi="宋体" w:eastAsia="宋体" w:cs="宋体"/>
                <w:color w:val="000000"/>
                <w:sz w:val="16"/>
                <w:szCs w:val="16"/>
              </w:rPr>
            </w:pPr>
          </w:p>
        </w:tc>
      </w:tr>
      <w:tr w14:paraId="0ECF459A">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90461">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90DDC51">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498E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C956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19AC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职业道德与法律</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41A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5974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3CDA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BC60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0660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A67F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2D0F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37C32A">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BFCB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ABCD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B62A1">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63566">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0414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7B09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A847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7AF49">
            <w:pPr>
              <w:jc w:val="center"/>
              <w:rPr>
                <w:rFonts w:ascii="宋体" w:hAnsi="宋体" w:eastAsia="宋体" w:cs="宋体"/>
                <w:color w:val="000000"/>
                <w:sz w:val="16"/>
                <w:szCs w:val="16"/>
              </w:rPr>
            </w:pPr>
          </w:p>
        </w:tc>
      </w:tr>
      <w:tr w14:paraId="37A1A85B">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4C86D">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862703">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5DEA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1C7A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20D9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哲学与人生</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8CE0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06D6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8587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C5F0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5C08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A7A3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9B81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1365A3">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E4C1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2B8B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4E00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612A7">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7737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0E85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5125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C287E">
            <w:pPr>
              <w:jc w:val="center"/>
              <w:rPr>
                <w:rFonts w:ascii="宋体" w:hAnsi="宋体" w:eastAsia="宋体" w:cs="宋体"/>
                <w:color w:val="000000"/>
                <w:sz w:val="16"/>
                <w:szCs w:val="16"/>
              </w:rPr>
            </w:pPr>
          </w:p>
        </w:tc>
      </w:tr>
      <w:tr w14:paraId="4C213F07">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95D7B">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EF3EEA">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E8AC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8A7E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DCF7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语文</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0AA9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B775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28EA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51D0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9153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180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6CC1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CD26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5EC2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B69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79C5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6513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B218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AEF2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EB93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376B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2E1D9">
            <w:pPr>
              <w:jc w:val="center"/>
              <w:rPr>
                <w:rFonts w:ascii="宋体" w:hAnsi="宋体" w:eastAsia="宋体" w:cs="宋体"/>
                <w:color w:val="000000"/>
                <w:sz w:val="16"/>
                <w:szCs w:val="16"/>
              </w:rPr>
            </w:pPr>
          </w:p>
        </w:tc>
      </w:tr>
      <w:tr w14:paraId="18D060F0">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4D4FE">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C7160C3">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920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A93A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3668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数学</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36EC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ABF6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C8BE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4EC8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D4F7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AE99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6CC2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910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D07D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E500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05CBF">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72A2">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A59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053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D4DD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A0D8">
            <w:pPr>
              <w:jc w:val="center"/>
              <w:rPr>
                <w:rFonts w:ascii="宋体" w:hAnsi="宋体" w:eastAsia="宋体" w:cs="宋体"/>
                <w:color w:val="000000"/>
                <w:sz w:val="16"/>
                <w:szCs w:val="16"/>
              </w:rPr>
            </w:pPr>
          </w:p>
        </w:tc>
      </w:tr>
      <w:tr w14:paraId="2BF50DE7">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3003C">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8F272C">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7947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7EC3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96C7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公共英语</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CCA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67CE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1F00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01C3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244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B4EE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244</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5612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97B3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06CF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E85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313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DA98C">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AFB15">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174C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8EE7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F227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EB4A8">
            <w:pPr>
              <w:jc w:val="center"/>
              <w:rPr>
                <w:rFonts w:ascii="宋体" w:hAnsi="宋体" w:eastAsia="宋体" w:cs="宋体"/>
                <w:color w:val="000000"/>
                <w:sz w:val="16"/>
                <w:szCs w:val="16"/>
              </w:rPr>
            </w:pPr>
          </w:p>
        </w:tc>
      </w:tr>
      <w:tr w14:paraId="6CA689E3">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18ECE">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DE2E1E3">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C31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7C4D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E3AD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计算机应用基础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55F0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A081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4400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8AD4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108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AEE6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54</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F592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18E3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E0EF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7116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E64818">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ED580">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E9979">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36DF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B721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61E4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D497A">
            <w:pPr>
              <w:jc w:val="center"/>
              <w:rPr>
                <w:rFonts w:ascii="宋体" w:hAnsi="宋体" w:eastAsia="宋体" w:cs="宋体"/>
                <w:color w:val="000000"/>
                <w:sz w:val="16"/>
                <w:szCs w:val="16"/>
              </w:rPr>
            </w:pPr>
          </w:p>
        </w:tc>
      </w:tr>
      <w:tr w14:paraId="78F67F9B">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16E38">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618FFDF">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ADC1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29D8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E8F2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体育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964E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E41D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93C9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44EA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186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4A4E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82FC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186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BFC3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3242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B765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E515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E129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D382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BFF3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48B9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F40E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E4A1B">
            <w:pPr>
              <w:jc w:val="center"/>
              <w:rPr>
                <w:rFonts w:ascii="宋体" w:hAnsi="宋体" w:eastAsia="宋体" w:cs="宋体"/>
                <w:color w:val="000000"/>
                <w:sz w:val="16"/>
                <w:szCs w:val="16"/>
              </w:rPr>
            </w:pPr>
          </w:p>
        </w:tc>
      </w:tr>
      <w:tr w14:paraId="3DE53AC6">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37F3B">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D87132A">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2463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36CD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DFA7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历史（中国历史）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5345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4D5A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D72B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7E02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DC00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5A2C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CB0B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2FAC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090D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1F07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E0AB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2C3F8">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5E01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9272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E6EE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EDAFA">
            <w:pPr>
              <w:jc w:val="center"/>
              <w:rPr>
                <w:rFonts w:ascii="宋体" w:hAnsi="宋体" w:eastAsia="宋体" w:cs="宋体"/>
                <w:color w:val="000000"/>
                <w:sz w:val="16"/>
                <w:szCs w:val="16"/>
              </w:rPr>
            </w:pPr>
          </w:p>
        </w:tc>
      </w:tr>
      <w:tr w14:paraId="0F7FD8ED">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903CF">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2ED26E">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177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29D8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70E5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历史（世界历史）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22BC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DF88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4D83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4E8E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5667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24B3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2A4C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B8D2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CDC5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AEBC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C6B8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B153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B07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5AEC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4208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18200">
            <w:pPr>
              <w:jc w:val="center"/>
              <w:rPr>
                <w:rFonts w:ascii="宋体" w:hAnsi="宋体" w:eastAsia="宋体" w:cs="宋体"/>
                <w:color w:val="000000"/>
                <w:sz w:val="16"/>
                <w:szCs w:val="16"/>
              </w:rPr>
            </w:pPr>
          </w:p>
        </w:tc>
      </w:tr>
      <w:tr w14:paraId="211026CD">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879EB">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05E007A">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8689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A73C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BCCC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入学教育与军训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9861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70B9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3870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8AF7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1719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0CDB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168</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AF63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BC5D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4767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DEF8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877A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F1F4C">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B34E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D2E3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F970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12CF5">
            <w:pPr>
              <w:jc w:val="center"/>
              <w:rPr>
                <w:rFonts w:ascii="宋体" w:hAnsi="宋体" w:eastAsia="宋体" w:cs="宋体"/>
                <w:color w:val="000000"/>
                <w:sz w:val="16"/>
                <w:szCs w:val="16"/>
              </w:rPr>
            </w:pPr>
          </w:p>
        </w:tc>
      </w:tr>
      <w:tr w14:paraId="05D0798B">
        <w:tblPrEx>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66B26">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C66B5EE">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FFF2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FB42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GG220123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4B2A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劳动教育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EBFC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D6C2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22B0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B6D1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ABED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C265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05BA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50DD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FC4A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7501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5CD88">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50ED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A485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FF5DA9">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9E9FF6">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2A6B02">
            <w:pPr>
              <w:rPr>
                <w:rFonts w:ascii="宋体" w:hAnsi="宋体" w:eastAsia="宋体" w:cs="宋体"/>
                <w:color w:val="000000"/>
                <w:sz w:val="24"/>
                <w:szCs w:val="24"/>
              </w:rPr>
            </w:pPr>
          </w:p>
        </w:tc>
      </w:tr>
      <w:tr w14:paraId="017B079D">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7FE3E">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08A3526">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0DF2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2648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MY000101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C3BE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思想道德与法治</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B203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FAE3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A151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A12F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7B57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42</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8EC3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7BC06F">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DC0459">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34F0D6">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AEABD8">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38AC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B986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4BAD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D8B5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5118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9B130">
            <w:pPr>
              <w:jc w:val="center"/>
              <w:rPr>
                <w:rFonts w:ascii="宋体" w:hAnsi="宋体" w:eastAsia="宋体" w:cs="宋体"/>
                <w:color w:val="000000"/>
                <w:sz w:val="16"/>
                <w:szCs w:val="16"/>
              </w:rPr>
            </w:pPr>
          </w:p>
        </w:tc>
      </w:tr>
      <w:tr w14:paraId="6A1477B5">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CB0FB">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35BA6CF">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A75E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8C6E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MY000102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2132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毛泽东思想和中国特色社会主义理论体系概论</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AC7F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3D35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0D8B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5598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6CF4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28</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78E0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667A5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7AD980">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167C8A">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8B9C9C">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3A76B">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F89B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FCF0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9FEB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5977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92024">
            <w:pPr>
              <w:jc w:val="center"/>
              <w:rPr>
                <w:rFonts w:ascii="宋体" w:hAnsi="宋体" w:eastAsia="宋体" w:cs="宋体"/>
                <w:color w:val="000000"/>
                <w:sz w:val="16"/>
                <w:szCs w:val="16"/>
              </w:rPr>
            </w:pPr>
          </w:p>
        </w:tc>
      </w:tr>
      <w:tr w14:paraId="6728EF51">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0F1BA">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AF50B4A">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584D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7BC6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MY000103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E3EA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形势与政策</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5BA2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1D1F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6CD7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03F9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D8E0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0ED2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730440">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B0C1E9">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348391">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B2FDA9">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E057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9AA2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FC80">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DA651">
            <w:pPr>
              <w:widowControl/>
              <w:jc w:val="center"/>
              <w:textAlignment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E2D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EDE69">
            <w:pPr>
              <w:jc w:val="center"/>
              <w:rPr>
                <w:rFonts w:ascii="宋体" w:hAnsi="宋体" w:eastAsia="宋体" w:cs="宋体"/>
                <w:color w:val="000000"/>
                <w:sz w:val="16"/>
                <w:szCs w:val="16"/>
              </w:rPr>
            </w:pPr>
          </w:p>
        </w:tc>
      </w:tr>
      <w:tr w14:paraId="59FC99BF">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B130C">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473A66E">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2B53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A01E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MY220105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8F7D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习近平新时代中国特色社会主义思想概论</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3FC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E456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FF8C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63E5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F304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42</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8929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B91E03">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562F23">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0A7F00">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740C4E">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D0F97">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0151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E78C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73D9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2D5A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CB24F">
            <w:pPr>
              <w:jc w:val="center"/>
              <w:rPr>
                <w:rFonts w:ascii="宋体" w:hAnsi="宋体" w:eastAsia="宋体" w:cs="宋体"/>
                <w:color w:val="000000"/>
                <w:sz w:val="16"/>
                <w:szCs w:val="16"/>
              </w:rPr>
            </w:pPr>
          </w:p>
        </w:tc>
      </w:tr>
      <w:tr w14:paraId="29F9E6AC">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8F244">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C5D6AF">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C84F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2A0C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MY000106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D1EB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国家安全教育</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B830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06B2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85C8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F7D8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FD12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27CB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83A986">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028835">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492DAC">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2499A5">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9093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0D17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8CCA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564C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22AC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B57F9">
            <w:pPr>
              <w:jc w:val="center"/>
              <w:rPr>
                <w:rFonts w:ascii="宋体" w:hAnsi="宋体" w:eastAsia="宋体" w:cs="宋体"/>
                <w:color w:val="000000"/>
                <w:sz w:val="16"/>
                <w:szCs w:val="16"/>
              </w:rPr>
            </w:pPr>
          </w:p>
        </w:tc>
      </w:tr>
      <w:tr w14:paraId="39B2D65E">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68B04">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A4052BC">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5BBB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6D93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1D17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高职英语</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48F4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41F0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4837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9DF0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96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63AD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96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F64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2434F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2217A5">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8BD594">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B1826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E3FC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31A5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22C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0C8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A3ED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0F1C6">
            <w:pPr>
              <w:jc w:val="center"/>
              <w:rPr>
                <w:rFonts w:ascii="宋体" w:hAnsi="宋体" w:eastAsia="宋体" w:cs="宋体"/>
                <w:color w:val="000000"/>
                <w:sz w:val="16"/>
                <w:szCs w:val="16"/>
              </w:rPr>
            </w:pPr>
          </w:p>
        </w:tc>
      </w:tr>
      <w:tr w14:paraId="7B97F4C6">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7F0C6">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CD3EF04">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55C5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393B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FB4C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信息技术</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2A65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9DB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B0F5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8BAE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D05D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0A55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831A80">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950386">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A87F03">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6D56FF">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3107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34ACB">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51D4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B227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C73A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B5880">
            <w:pPr>
              <w:jc w:val="center"/>
              <w:rPr>
                <w:rFonts w:ascii="宋体" w:hAnsi="宋体" w:eastAsia="宋体" w:cs="宋体"/>
                <w:color w:val="000000"/>
                <w:sz w:val="16"/>
                <w:szCs w:val="16"/>
              </w:rPr>
            </w:pPr>
          </w:p>
        </w:tc>
      </w:tr>
      <w:tr w14:paraId="7B6B7EE1">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FE209">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64F48F9">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777B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E98E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AE3B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应用写作</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6DE6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4299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0FCE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AB88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5240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8AF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BAD48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EF521F">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5564B0">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05CE1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5110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nil"/>
              <w:left w:val="nil"/>
              <w:bottom w:val="nil"/>
              <w:right w:val="nil"/>
            </w:tcBorders>
            <w:shd w:val="clear" w:color="auto" w:fill="auto"/>
            <w:noWrap/>
            <w:vAlign w:val="bottom"/>
          </w:tcPr>
          <w:p w14:paraId="03D0BB23">
            <w:pPr>
              <w:rPr>
                <w:rFonts w:ascii="宋体" w:hAnsi="宋体" w:eastAsia="宋体" w:cs="宋体"/>
                <w:color w:val="000000"/>
                <w:sz w:val="24"/>
                <w:szCs w:val="24"/>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E936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BFEA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C17E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810AB">
            <w:pPr>
              <w:jc w:val="center"/>
              <w:rPr>
                <w:rFonts w:ascii="宋体" w:hAnsi="宋体" w:eastAsia="宋体" w:cs="宋体"/>
                <w:color w:val="000000"/>
                <w:sz w:val="16"/>
                <w:szCs w:val="16"/>
              </w:rPr>
            </w:pPr>
          </w:p>
        </w:tc>
      </w:tr>
      <w:tr w14:paraId="1C1EDA38">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2BF8F">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C64B26F">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5EAC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6378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473C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职业规划与就业指导</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2A3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E9A9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102D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730B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13D1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0E0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279FEA">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E00661">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4291B9">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867FD4">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5897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832B5">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4620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8E41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36F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C923F">
            <w:pPr>
              <w:jc w:val="center"/>
              <w:rPr>
                <w:rFonts w:ascii="宋体" w:hAnsi="宋体" w:eastAsia="宋体" w:cs="宋体"/>
                <w:color w:val="000000"/>
                <w:sz w:val="16"/>
                <w:szCs w:val="16"/>
              </w:rPr>
            </w:pPr>
          </w:p>
        </w:tc>
      </w:tr>
      <w:tr w14:paraId="0E3B8C14">
        <w:tblPrEx>
          <w:tblCellMar>
            <w:top w:w="0" w:type="dxa"/>
            <w:left w:w="108" w:type="dxa"/>
            <w:bottom w:w="0" w:type="dxa"/>
            <w:right w:w="108" w:type="dxa"/>
          </w:tblCellMar>
        </w:tblPrEx>
        <w:trPr>
          <w:trHeight w:val="36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904AA">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097FD7">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4F81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2E43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E4B9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创业基础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8073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B0CC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25BD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1A01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E0D4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3FB4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11497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8D9F45">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773A4C">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FD1434">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2DE41">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1C10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C423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AFF8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79A5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80F46">
            <w:pPr>
              <w:jc w:val="center"/>
              <w:rPr>
                <w:rFonts w:ascii="宋体" w:hAnsi="宋体" w:eastAsia="宋体" w:cs="宋体"/>
                <w:color w:val="000000"/>
                <w:sz w:val="16"/>
                <w:szCs w:val="16"/>
              </w:rPr>
            </w:pPr>
          </w:p>
        </w:tc>
      </w:tr>
      <w:tr w14:paraId="45012979">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49C83">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1F40050">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F4FC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676D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FD88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体育与健康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A2A0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E7B5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6BEA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06D9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7561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F045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100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BED384">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970ADA">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D984C8">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8B2277">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FF71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499A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BD6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6009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127B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49378">
            <w:pPr>
              <w:jc w:val="center"/>
              <w:rPr>
                <w:rFonts w:ascii="宋体" w:hAnsi="宋体" w:eastAsia="宋体" w:cs="宋体"/>
                <w:color w:val="000000"/>
                <w:sz w:val="16"/>
                <w:szCs w:val="16"/>
              </w:rPr>
            </w:pPr>
          </w:p>
        </w:tc>
      </w:tr>
      <w:tr w14:paraId="119D397F">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829B4">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26B298">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3EB5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C6B5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C0BB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心理健康教育</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F9D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FC75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1F47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F906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D936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54A0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662855">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9E2172">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9F3979">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07018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686A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5A13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F2D9D">
            <w:pPr>
              <w:widowControl/>
              <w:jc w:val="center"/>
              <w:textAlignment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6FAA3">
            <w:pPr>
              <w:widowControl/>
              <w:jc w:val="center"/>
              <w:textAlignment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6647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FA34A">
            <w:pPr>
              <w:jc w:val="center"/>
              <w:rPr>
                <w:rFonts w:ascii="宋体" w:hAnsi="宋体" w:eastAsia="宋体" w:cs="宋体"/>
                <w:color w:val="000000"/>
                <w:sz w:val="16"/>
                <w:szCs w:val="16"/>
              </w:rPr>
            </w:pPr>
          </w:p>
        </w:tc>
      </w:tr>
      <w:tr w14:paraId="5C426CDF">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034CC">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AE423E">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320D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2467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4BB3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大学生安全教育</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7092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C4E9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B2CC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B514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6F30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A11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C5CB37">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A5C481">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F76710">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67926C">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1188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E911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61BA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E131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AB41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6F296">
            <w:pPr>
              <w:jc w:val="center"/>
              <w:rPr>
                <w:rFonts w:ascii="宋体" w:hAnsi="宋体" w:eastAsia="宋体" w:cs="宋体"/>
                <w:color w:val="000000"/>
                <w:sz w:val="16"/>
                <w:szCs w:val="16"/>
              </w:rPr>
            </w:pPr>
          </w:p>
        </w:tc>
      </w:tr>
      <w:tr w14:paraId="4895F0B7">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74C19">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80F0CD2">
            <w:pPr>
              <w:jc w:val="center"/>
              <w:rPr>
                <w:rFonts w:ascii="宋体" w:hAnsi="宋体" w:eastAsia="宋体" w:cs="宋体"/>
                <w:b/>
                <w:bCs/>
                <w:color w:val="000000"/>
                <w:sz w:val="16"/>
                <w:szCs w:val="16"/>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85AF87">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37D0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1B36B">
            <w:pPr>
              <w:jc w:val="center"/>
              <w:rPr>
                <w:rFonts w:ascii="宋体" w:hAnsi="宋体" w:eastAsia="宋体" w:cs="宋体"/>
                <w:color w:val="000000"/>
                <w:sz w:val="16"/>
                <w:szCs w:val="16"/>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E6EC">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102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139B4">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1846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ED1DE">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1202</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65A68">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644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E9350">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F84C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4EBF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E668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D31C">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733CB5">
            <w:pPr>
              <w:rPr>
                <w:rFonts w:ascii="宋体" w:hAnsi="宋体" w:eastAsia="宋体" w:cs="宋体"/>
                <w:color w:val="000000"/>
                <w:sz w:val="24"/>
                <w:szCs w:val="24"/>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28C5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EA3219">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BF6D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167A75">
            <w:pPr>
              <w:rPr>
                <w:rFonts w:ascii="宋体" w:hAnsi="宋体" w:eastAsia="宋体" w:cs="宋体"/>
                <w:color w:val="000000"/>
                <w:sz w:val="24"/>
                <w:szCs w:val="24"/>
              </w:rPr>
            </w:pPr>
          </w:p>
        </w:tc>
      </w:tr>
      <w:tr w14:paraId="5AE01A56">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40C25">
            <w:pPr>
              <w:jc w:val="center"/>
              <w:rPr>
                <w:rFonts w:ascii="宋体" w:hAnsi="宋体" w:eastAsia="宋体" w:cs="宋体"/>
                <w:b/>
                <w:bCs/>
                <w:color w:val="000000"/>
                <w:sz w:val="18"/>
                <w:szCs w:val="18"/>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1877CB2">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公共选修课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74301">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D2262">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GJ220202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D8D76">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美育</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83B9">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考查</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E4FD4">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A2AA3">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8E985">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32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F3E7C">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32</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08A1F">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3312D2">
            <w:pPr>
              <w:widowControl/>
              <w:jc w:val="center"/>
              <w:textAlignment w:val="center"/>
              <w:rPr>
                <w:rFonts w:ascii="宋体" w:hAnsi="宋体" w:eastAsia="宋体" w:cs="宋体"/>
                <w:color w:val="000000"/>
                <w:kern w:val="0"/>
                <w:sz w:val="16"/>
                <w:szCs w:val="16"/>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5B4D3A">
            <w:pPr>
              <w:rPr>
                <w:rFonts w:ascii="宋体" w:hAnsi="宋体" w:eastAsia="宋体" w:cs="宋体"/>
                <w:color w:val="FF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44B3C4">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2B6FA8">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07EF3">
            <w:pPr>
              <w:widowControl/>
              <w:jc w:val="center"/>
              <w:textAlignment w:val="center"/>
              <w:rPr>
                <w:rFonts w:ascii="宋体" w:hAnsi="宋体" w:eastAsia="宋体" w:cs="宋体"/>
                <w:color w:val="auto"/>
                <w:sz w:val="16"/>
                <w:szCs w:val="16"/>
              </w:rPr>
            </w:pPr>
            <w:r>
              <w:rPr>
                <w:rFonts w:hint="eastAsia" w:ascii="宋体" w:hAnsi="宋体" w:eastAsia="宋体" w:cs="宋体"/>
                <w:color w:val="auto"/>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633A5">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6EEC8">
            <w:pPr>
              <w:jc w:val="center"/>
              <w:rPr>
                <w:rFonts w:ascii="宋体" w:hAnsi="宋体" w:eastAsia="宋体" w:cs="宋体"/>
                <w:color w:val="auto"/>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15471">
            <w:pPr>
              <w:jc w:val="center"/>
              <w:rPr>
                <w:rFonts w:ascii="宋体" w:hAnsi="宋体" w:eastAsia="宋体" w:cs="宋体"/>
                <w:color w:val="auto"/>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31F9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AE627D">
            <w:pPr>
              <w:rPr>
                <w:rFonts w:ascii="宋体" w:hAnsi="宋体" w:eastAsia="宋体" w:cs="宋体"/>
                <w:color w:val="000000"/>
                <w:sz w:val="24"/>
                <w:szCs w:val="24"/>
              </w:rPr>
            </w:pPr>
          </w:p>
        </w:tc>
      </w:tr>
      <w:tr w14:paraId="6D957036">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6B35B">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887AD8F">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DF93A">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424E3">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GJ220204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05243">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时间管理</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B836E">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考查</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68B1">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0CA3E">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8AD20">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8538A">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F6B3A">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08CAD3">
            <w:pPr>
              <w:widowControl/>
              <w:jc w:val="center"/>
              <w:textAlignment w:val="center"/>
              <w:rPr>
                <w:rFonts w:ascii="宋体" w:hAnsi="宋体" w:eastAsia="宋体" w:cs="宋体"/>
                <w:color w:val="000000"/>
                <w:kern w:val="0"/>
                <w:sz w:val="16"/>
                <w:szCs w:val="16"/>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2D2735">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EE2B86">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935C2E">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01690">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00C1C">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15A5B">
            <w:pPr>
              <w:widowControl/>
              <w:jc w:val="center"/>
              <w:textAlignment w:val="center"/>
              <w:rPr>
                <w:rFonts w:ascii="宋体" w:hAnsi="宋体" w:eastAsia="宋体" w:cs="宋体"/>
                <w:color w:val="auto"/>
                <w:sz w:val="16"/>
                <w:szCs w:val="16"/>
              </w:rPr>
            </w:pPr>
            <w:r>
              <w:rPr>
                <w:rFonts w:hint="eastAsia" w:ascii="宋体" w:hAnsi="宋体" w:eastAsia="宋体" w:cs="宋体"/>
                <w:color w:val="auto"/>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ACE2C">
            <w:pPr>
              <w:jc w:val="center"/>
              <w:rPr>
                <w:rFonts w:ascii="宋体" w:hAnsi="宋体" w:eastAsia="宋体" w:cs="宋体"/>
                <w:color w:val="auto"/>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A13C0">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3CCD6">
            <w:pPr>
              <w:jc w:val="center"/>
              <w:rPr>
                <w:rFonts w:ascii="宋体" w:hAnsi="宋体" w:eastAsia="宋体" w:cs="宋体"/>
                <w:color w:val="000000"/>
                <w:sz w:val="16"/>
                <w:szCs w:val="16"/>
              </w:rPr>
            </w:pPr>
          </w:p>
        </w:tc>
      </w:tr>
      <w:tr w14:paraId="34BDFCA5">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A79BA">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363FBB4">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D8D9A">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A9F61">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GJ220209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F620A">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沟通的艺术</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D20A6">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考查</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BED29">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8A04E">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26DED">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C5CC5">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A2B51">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92D6FE">
            <w:pPr>
              <w:widowControl/>
              <w:jc w:val="center"/>
              <w:textAlignment w:val="center"/>
              <w:rPr>
                <w:rFonts w:ascii="宋体" w:hAnsi="宋体" w:eastAsia="宋体" w:cs="宋体"/>
                <w:color w:val="000000"/>
                <w:kern w:val="0"/>
                <w:sz w:val="16"/>
                <w:szCs w:val="16"/>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28D8AC">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EA1597">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9E269F">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523CC">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A0FBF">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461F3">
            <w:pPr>
              <w:widowControl/>
              <w:jc w:val="center"/>
              <w:textAlignment w:val="center"/>
              <w:rPr>
                <w:rFonts w:ascii="宋体" w:hAnsi="宋体" w:eastAsia="宋体" w:cs="宋体"/>
                <w:color w:val="auto"/>
                <w:sz w:val="16"/>
                <w:szCs w:val="16"/>
              </w:rPr>
            </w:pPr>
            <w:r>
              <w:rPr>
                <w:rFonts w:hint="eastAsia" w:ascii="宋体" w:hAnsi="宋体" w:eastAsia="宋体" w:cs="宋体"/>
                <w:color w:val="auto"/>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92B5">
            <w:pPr>
              <w:jc w:val="center"/>
              <w:rPr>
                <w:rFonts w:ascii="宋体" w:hAnsi="宋体" w:eastAsia="宋体" w:cs="宋体"/>
                <w:color w:val="auto"/>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3E53A">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808B2">
            <w:pPr>
              <w:jc w:val="center"/>
              <w:rPr>
                <w:rFonts w:ascii="宋体" w:hAnsi="宋体" w:eastAsia="宋体" w:cs="宋体"/>
                <w:color w:val="000000"/>
                <w:sz w:val="16"/>
                <w:szCs w:val="16"/>
              </w:rPr>
            </w:pPr>
          </w:p>
        </w:tc>
      </w:tr>
      <w:tr w14:paraId="4E0DD5A2">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61FE5">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9FE9353">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28BE4">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65937">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GJ220206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3BD18">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 xml:space="preserve">中华优秀传统文化  </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17088">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考查</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FEB7C">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CAF8E">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038BF">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12366">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C01E7">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85EE9D">
            <w:pPr>
              <w:widowControl/>
              <w:jc w:val="center"/>
              <w:textAlignment w:val="center"/>
              <w:rPr>
                <w:rFonts w:ascii="宋体" w:hAnsi="宋体" w:eastAsia="宋体" w:cs="宋体"/>
                <w:color w:val="000000"/>
                <w:kern w:val="0"/>
                <w:sz w:val="16"/>
                <w:szCs w:val="16"/>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B6BBC9">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F423B0">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60E736">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E27FE">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5F5E3">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E4232">
            <w:pPr>
              <w:jc w:val="center"/>
              <w:rPr>
                <w:rFonts w:ascii="宋体" w:hAnsi="宋体" w:eastAsia="宋体" w:cs="宋体"/>
                <w:color w:val="auto"/>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6DF2F">
            <w:pPr>
              <w:widowControl/>
              <w:jc w:val="center"/>
              <w:textAlignment w:val="center"/>
              <w:rPr>
                <w:rFonts w:ascii="宋体" w:hAnsi="宋体" w:eastAsia="宋体" w:cs="宋体"/>
                <w:color w:val="auto"/>
                <w:sz w:val="16"/>
                <w:szCs w:val="16"/>
              </w:rPr>
            </w:pPr>
            <w:r>
              <w:rPr>
                <w:rFonts w:hint="eastAsia" w:ascii="宋体" w:hAnsi="宋体" w:eastAsia="宋体" w:cs="宋体"/>
                <w:color w:val="auto"/>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4C34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67B8">
            <w:pPr>
              <w:jc w:val="center"/>
              <w:rPr>
                <w:rFonts w:ascii="宋体" w:hAnsi="宋体" w:eastAsia="宋体" w:cs="宋体"/>
                <w:color w:val="000000"/>
                <w:sz w:val="16"/>
                <w:szCs w:val="16"/>
              </w:rPr>
            </w:pPr>
          </w:p>
        </w:tc>
      </w:tr>
      <w:tr w14:paraId="31B0BF45">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99FF0">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282F6A8">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8CB2">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7C3B8">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GJ220213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095CE">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“四史”教育</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CD6A">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考查</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00C4B">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FE2FB">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9F2CF">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FCE30">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F2B0F">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AC8850">
            <w:pPr>
              <w:widowControl/>
              <w:jc w:val="center"/>
              <w:textAlignment w:val="center"/>
              <w:rPr>
                <w:rFonts w:ascii="宋体" w:hAnsi="宋体" w:eastAsia="宋体" w:cs="宋体"/>
                <w:color w:val="000000"/>
                <w:kern w:val="0"/>
                <w:sz w:val="16"/>
                <w:szCs w:val="16"/>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B96502">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741352">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139255">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311C">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92EFC">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1A930">
            <w:pPr>
              <w:jc w:val="center"/>
              <w:rPr>
                <w:rFonts w:ascii="宋体" w:hAnsi="宋体" w:eastAsia="宋体" w:cs="宋体"/>
                <w:color w:val="auto"/>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1AD96">
            <w:pPr>
              <w:widowControl/>
              <w:jc w:val="center"/>
              <w:textAlignment w:val="center"/>
              <w:rPr>
                <w:rFonts w:ascii="宋体" w:hAnsi="宋体" w:eastAsia="宋体" w:cs="宋体"/>
                <w:color w:val="auto"/>
                <w:sz w:val="16"/>
                <w:szCs w:val="16"/>
              </w:rPr>
            </w:pPr>
            <w:r>
              <w:rPr>
                <w:rFonts w:hint="eastAsia" w:ascii="宋体" w:hAnsi="宋体" w:eastAsia="宋体" w:cs="宋体"/>
                <w:color w:val="auto"/>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7329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49148">
            <w:pPr>
              <w:jc w:val="center"/>
              <w:rPr>
                <w:rFonts w:ascii="宋体" w:hAnsi="宋体" w:eastAsia="宋体" w:cs="宋体"/>
                <w:color w:val="000000"/>
                <w:sz w:val="16"/>
                <w:szCs w:val="16"/>
              </w:rPr>
            </w:pPr>
          </w:p>
        </w:tc>
      </w:tr>
      <w:tr w14:paraId="08DB5EA4">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D2A51">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9F304C2">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2443C">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4D8F2">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GJ220210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B92C">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情绪管理</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8ECC">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考查</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2C812">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FC759">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22BE2">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C304E">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6513C">
            <w:pPr>
              <w:widowControl/>
              <w:jc w:val="center"/>
              <w:textAlignment w:val="center"/>
              <w:rPr>
                <w:rFonts w:ascii="宋体" w:hAnsi="宋体" w:eastAsia="宋体" w:cs="宋体"/>
                <w:color w:val="000000"/>
                <w:kern w:val="0"/>
                <w:sz w:val="16"/>
                <w:szCs w:val="16"/>
                <w:lang w:bidi="ar"/>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BF4DDA">
            <w:pPr>
              <w:widowControl/>
              <w:jc w:val="center"/>
              <w:textAlignment w:val="center"/>
              <w:rPr>
                <w:rFonts w:ascii="宋体" w:hAnsi="宋体" w:eastAsia="宋体" w:cs="宋体"/>
                <w:color w:val="000000"/>
                <w:kern w:val="0"/>
                <w:sz w:val="16"/>
                <w:szCs w:val="16"/>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8532CE">
            <w:pPr>
              <w:rPr>
                <w:rFonts w:ascii="宋体" w:hAnsi="宋体" w:eastAsia="宋体" w:cs="宋体"/>
                <w:color w:val="FF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C7283B">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D5E2B">
            <w:pPr>
              <w:widowControl/>
              <w:jc w:val="center"/>
              <w:textAlignment w:val="center"/>
              <w:rPr>
                <w:rFonts w:ascii="宋体" w:hAnsi="宋体" w:eastAsia="宋体" w:cs="宋体"/>
                <w:color w:val="auto"/>
                <w:sz w:val="16"/>
                <w:szCs w:val="16"/>
              </w:rPr>
            </w:pPr>
            <w:r>
              <w:rPr>
                <w:rFonts w:hint="eastAsia" w:ascii="宋体" w:hAnsi="宋体" w:eastAsia="宋体" w:cs="宋体"/>
                <w:color w:val="auto"/>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42CC0">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C75C0">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4B903">
            <w:pPr>
              <w:jc w:val="center"/>
              <w:rPr>
                <w:rFonts w:ascii="宋体" w:hAnsi="宋体" w:eastAsia="宋体" w:cs="宋体"/>
                <w:color w:val="auto"/>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05048">
            <w:pPr>
              <w:jc w:val="center"/>
              <w:rPr>
                <w:rFonts w:ascii="宋体" w:hAnsi="宋体" w:eastAsia="宋体" w:cs="宋体"/>
                <w:color w:val="auto"/>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4332B">
            <w:pPr>
              <w:jc w:val="center"/>
              <w:rPr>
                <w:rFonts w:ascii="宋体" w:hAnsi="宋体" w:eastAsia="宋体" w:cs="宋体"/>
                <w:color w:val="FF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7B741">
            <w:pPr>
              <w:jc w:val="center"/>
              <w:rPr>
                <w:rFonts w:ascii="宋体" w:hAnsi="宋体" w:eastAsia="宋体" w:cs="宋体"/>
                <w:color w:val="FF0000"/>
                <w:sz w:val="16"/>
                <w:szCs w:val="16"/>
              </w:rPr>
            </w:pPr>
          </w:p>
        </w:tc>
      </w:tr>
      <w:tr w14:paraId="2DA3F8C0">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90390">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3A7E88">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157AF">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A3C87">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GJ220207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49479">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大学语文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B401F">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考试</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41E06">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4E691">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FFBBE">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00A54">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BCAE2">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ACA611">
            <w:pPr>
              <w:widowControl/>
              <w:jc w:val="center"/>
              <w:textAlignment w:val="center"/>
              <w:rPr>
                <w:rFonts w:ascii="宋体" w:hAnsi="宋体" w:eastAsia="宋体" w:cs="宋体"/>
                <w:color w:val="000000"/>
                <w:kern w:val="0"/>
                <w:sz w:val="16"/>
                <w:szCs w:val="16"/>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4792F3">
            <w:pPr>
              <w:rPr>
                <w:rFonts w:ascii="宋体" w:hAnsi="宋体" w:eastAsia="宋体" w:cs="宋体"/>
                <w:color w:val="FF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0DD60A">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761347">
            <w:pPr>
              <w:rPr>
                <w:rFonts w:ascii="宋体" w:hAnsi="宋体" w:eastAsia="宋体" w:cs="宋体"/>
                <w:color w:val="auto"/>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0718E">
            <w:pPr>
              <w:jc w:val="center"/>
              <w:rPr>
                <w:rFonts w:ascii="宋体" w:hAnsi="宋体" w:eastAsia="宋体" w:cs="宋体"/>
                <w:color w:val="auto"/>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B7D55">
            <w:pPr>
              <w:widowControl/>
              <w:jc w:val="center"/>
              <w:textAlignment w:val="center"/>
              <w:rPr>
                <w:rFonts w:ascii="宋体" w:hAnsi="宋体" w:eastAsia="宋体" w:cs="宋体"/>
                <w:color w:val="auto"/>
                <w:sz w:val="16"/>
                <w:szCs w:val="16"/>
              </w:rPr>
            </w:pPr>
            <w:r>
              <w:rPr>
                <w:rFonts w:hint="eastAsia" w:ascii="宋体" w:hAnsi="宋体" w:eastAsia="宋体" w:cs="宋体"/>
                <w:color w:val="auto"/>
                <w:kern w:val="0"/>
                <w:sz w:val="16"/>
                <w:szCs w:val="16"/>
                <w:lang w:bidi="ar"/>
              </w:rPr>
              <w:t>2</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8CF4E">
            <w:pPr>
              <w:jc w:val="center"/>
              <w:rPr>
                <w:rFonts w:ascii="宋体" w:hAnsi="宋体" w:eastAsia="宋体" w:cs="宋体"/>
                <w:color w:val="auto"/>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66152">
            <w:pPr>
              <w:jc w:val="center"/>
              <w:rPr>
                <w:rFonts w:ascii="宋体" w:hAnsi="宋体" w:eastAsia="宋体" w:cs="宋体"/>
                <w:color w:val="auto"/>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B1025">
            <w:pPr>
              <w:jc w:val="center"/>
              <w:rPr>
                <w:rFonts w:ascii="宋体" w:hAnsi="宋体" w:eastAsia="宋体" w:cs="宋体"/>
                <w:color w:val="FF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ACF5B">
            <w:pPr>
              <w:jc w:val="center"/>
              <w:rPr>
                <w:rFonts w:ascii="宋体" w:hAnsi="宋体" w:eastAsia="宋体" w:cs="宋体"/>
                <w:color w:val="FF0000"/>
                <w:sz w:val="16"/>
                <w:szCs w:val="16"/>
              </w:rPr>
            </w:pPr>
          </w:p>
        </w:tc>
      </w:tr>
      <w:tr w14:paraId="75856278">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585EF">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59E60C9">
            <w:pPr>
              <w:jc w:val="center"/>
              <w:rPr>
                <w:rFonts w:ascii="宋体" w:hAnsi="宋体" w:eastAsia="宋体" w:cs="宋体"/>
                <w:b/>
                <w:bCs/>
                <w:color w:val="000000"/>
                <w:sz w:val="16"/>
                <w:szCs w:val="16"/>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22AA24">
            <w:pPr>
              <w:widowControl/>
              <w:jc w:val="center"/>
              <w:textAlignment w:val="center"/>
              <w:rPr>
                <w:rFonts w:ascii="宋体" w:hAnsi="宋体" w:eastAsia="宋体" w:cs="宋体"/>
                <w:color w:val="000000"/>
                <w:kern w:val="0"/>
                <w:sz w:val="16"/>
                <w:szCs w:val="16"/>
                <w:lang w:bidi="ar"/>
              </w:rPr>
            </w:pPr>
            <w:r>
              <w:rPr>
                <w:rFonts w:hint="eastAsia" w:ascii="宋体" w:hAnsi="宋体" w:eastAsia="宋体" w:cs="宋体"/>
                <w:b/>
                <w:bCs/>
                <w:color w:val="000000"/>
                <w:kern w:val="0"/>
                <w:sz w:val="16"/>
                <w:szCs w:val="16"/>
                <w:lang w:bidi="ar"/>
              </w:rPr>
              <w:t>小计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FBB32">
            <w:pPr>
              <w:widowControl/>
              <w:jc w:val="center"/>
              <w:textAlignment w:val="center"/>
              <w:rPr>
                <w:rFonts w:ascii="宋体" w:hAnsi="宋体" w:eastAsia="宋体" w:cs="宋体"/>
                <w:color w:val="000000"/>
                <w:kern w:val="0"/>
                <w:sz w:val="16"/>
                <w:szCs w:val="16"/>
                <w:lang w:bidi="ar"/>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DE642">
            <w:pPr>
              <w:widowControl/>
              <w:jc w:val="center"/>
              <w:textAlignment w:val="center"/>
              <w:rPr>
                <w:rFonts w:ascii="宋体" w:hAnsi="宋体" w:eastAsia="宋体" w:cs="宋体"/>
                <w:color w:val="000000"/>
                <w:kern w:val="0"/>
                <w:sz w:val="16"/>
                <w:szCs w:val="16"/>
                <w:lang w:bidi="ar"/>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F6ED3">
            <w:pPr>
              <w:widowControl/>
              <w:jc w:val="center"/>
              <w:textAlignment w:val="center"/>
              <w:rPr>
                <w:rFonts w:ascii="宋体" w:hAnsi="宋体" w:eastAsia="宋体" w:cs="宋体"/>
                <w:b/>
                <w:bCs/>
                <w:color w:val="000000"/>
                <w:kern w:val="0"/>
                <w:sz w:val="16"/>
                <w:szCs w:val="16"/>
                <w:lang w:bidi="ar"/>
              </w:rPr>
            </w:pPr>
            <w:r>
              <w:rPr>
                <w:rFonts w:hint="eastAsia" w:ascii="宋体" w:hAnsi="宋体" w:eastAsia="宋体" w:cs="宋体"/>
                <w:b/>
                <w:bCs/>
                <w:color w:val="000000"/>
                <w:kern w:val="0"/>
                <w:sz w:val="16"/>
                <w:szCs w:val="16"/>
                <w:lang w:bidi="ar"/>
              </w:rPr>
              <w:t>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7D367">
            <w:pPr>
              <w:widowControl/>
              <w:jc w:val="center"/>
              <w:textAlignment w:val="center"/>
              <w:rPr>
                <w:rFonts w:ascii="宋体" w:hAnsi="宋体" w:eastAsia="宋体" w:cs="宋体"/>
                <w:b/>
                <w:bCs/>
                <w:color w:val="000000"/>
                <w:kern w:val="0"/>
                <w:sz w:val="16"/>
                <w:szCs w:val="16"/>
                <w:lang w:bidi="ar"/>
              </w:rPr>
            </w:pPr>
            <w:r>
              <w:rPr>
                <w:rFonts w:hint="eastAsia" w:ascii="宋体" w:hAnsi="宋体" w:eastAsia="宋体" w:cs="宋体"/>
                <w:b/>
                <w:bCs/>
                <w:color w:val="000000"/>
                <w:kern w:val="0"/>
                <w:sz w:val="16"/>
                <w:szCs w:val="16"/>
                <w:lang w:bidi="ar"/>
              </w:rPr>
              <w:t>128</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FB4A8">
            <w:pPr>
              <w:widowControl/>
              <w:jc w:val="center"/>
              <w:textAlignment w:val="center"/>
              <w:rPr>
                <w:rFonts w:ascii="宋体" w:hAnsi="宋体" w:eastAsia="宋体" w:cs="宋体"/>
                <w:b/>
                <w:bCs/>
                <w:color w:val="000000"/>
                <w:kern w:val="0"/>
                <w:sz w:val="16"/>
                <w:szCs w:val="16"/>
                <w:lang w:bidi="ar"/>
              </w:rPr>
            </w:pPr>
            <w:r>
              <w:rPr>
                <w:rFonts w:hint="eastAsia" w:ascii="宋体" w:hAnsi="宋体" w:eastAsia="宋体" w:cs="宋体"/>
                <w:b/>
                <w:bCs/>
                <w:color w:val="000000"/>
                <w:kern w:val="0"/>
                <w:sz w:val="16"/>
                <w:szCs w:val="16"/>
                <w:lang w:bidi="ar"/>
              </w:rPr>
              <w:t>128</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C4874">
            <w:pPr>
              <w:widowControl/>
              <w:jc w:val="center"/>
              <w:textAlignment w:val="center"/>
              <w:rPr>
                <w:rFonts w:ascii="宋体" w:hAnsi="宋体" w:eastAsia="宋体" w:cs="宋体"/>
                <w:b/>
                <w:bCs/>
                <w:color w:val="000000"/>
                <w:kern w:val="0"/>
                <w:sz w:val="16"/>
                <w:szCs w:val="16"/>
                <w:lang w:bidi="ar"/>
              </w:rPr>
            </w:pPr>
            <w:r>
              <w:rPr>
                <w:rFonts w:hint="eastAsia" w:ascii="宋体" w:hAnsi="宋体" w:eastAsia="宋体" w:cs="宋体"/>
                <w:b/>
                <w:bCs/>
                <w:color w:val="000000"/>
                <w:kern w:val="0"/>
                <w:sz w:val="16"/>
                <w:szCs w:val="16"/>
                <w:lang w:bidi="ar"/>
              </w:rPr>
              <w:t>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04576C">
            <w:pPr>
              <w:widowControl/>
              <w:jc w:val="center"/>
              <w:textAlignment w:val="center"/>
              <w:rPr>
                <w:rFonts w:ascii="宋体" w:hAnsi="宋体" w:eastAsia="宋体" w:cs="宋体"/>
                <w:color w:val="000000"/>
                <w:kern w:val="0"/>
                <w:sz w:val="16"/>
                <w:szCs w:val="16"/>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325E6C">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15CA53">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2FEB6A">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0069E">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9DC28">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0B1B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3A71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DC7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23987">
            <w:pPr>
              <w:jc w:val="center"/>
              <w:rPr>
                <w:rFonts w:ascii="宋体" w:hAnsi="宋体" w:eastAsia="宋体" w:cs="宋体"/>
                <w:color w:val="000000"/>
                <w:sz w:val="16"/>
                <w:szCs w:val="16"/>
              </w:rPr>
            </w:pPr>
          </w:p>
        </w:tc>
      </w:tr>
      <w:tr w14:paraId="3952839B">
        <w:tblPrEx>
          <w:tblCellMar>
            <w:top w:w="0" w:type="dxa"/>
            <w:left w:w="108" w:type="dxa"/>
            <w:bottom w:w="0" w:type="dxa"/>
            <w:right w:w="108" w:type="dxa"/>
          </w:tblCellMar>
        </w:tblPrEx>
        <w:trPr>
          <w:trHeight w:val="90"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147F68">
            <w:pPr>
              <w:widowControl/>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lang w:bidi="ar"/>
              </w:rPr>
              <w:t>专业课</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E663EC">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D4D0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FC3F">
            <w:pPr>
              <w:widowControl/>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81CF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sz w:val="16"/>
                <w:szCs w:val="16"/>
              </w:rPr>
              <w:t>婴幼儿营养与保育学</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18F6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1F91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A58E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C995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8C1E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2A7B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1432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8786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7A3C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401D24">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E9D6E">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9D176">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AD980">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1901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13FE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91EDD">
            <w:pPr>
              <w:jc w:val="center"/>
              <w:rPr>
                <w:rFonts w:ascii="宋体" w:hAnsi="宋体" w:eastAsia="宋体" w:cs="宋体"/>
                <w:color w:val="000000"/>
                <w:sz w:val="16"/>
                <w:szCs w:val="16"/>
              </w:rPr>
            </w:pPr>
          </w:p>
        </w:tc>
      </w:tr>
      <w:tr w14:paraId="22796379">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A1C61">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87EB7B">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B978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B892F">
            <w:pPr>
              <w:widowControl/>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CEA7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托幼机构卫生与消毒规范</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6F8B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E03E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F028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2C87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4B9D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B751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C40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E327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F6E1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4A2B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76836">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1B90B">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3B41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E8CA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EC69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3A9AC">
            <w:pPr>
              <w:jc w:val="center"/>
              <w:rPr>
                <w:rFonts w:ascii="宋体" w:hAnsi="宋体" w:eastAsia="宋体" w:cs="宋体"/>
                <w:color w:val="000000"/>
                <w:sz w:val="16"/>
                <w:szCs w:val="16"/>
              </w:rPr>
            </w:pPr>
          </w:p>
        </w:tc>
      </w:tr>
      <w:tr w14:paraId="0684F966">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69936">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B55CAE5">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B487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5C50E">
            <w:pPr>
              <w:widowControl/>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20D4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家庭教育指导</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CA4C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6C03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5264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CBD2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82BC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1D13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93B0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723A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CF33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C3E9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32DC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EC22C">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9BBF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458E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9ED8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7E333">
            <w:pPr>
              <w:jc w:val="center"/>
              <w:rPr>
                <w:rFonts w:ascii="宋体" w:hAnsi="宋体" w:eastAsia="宋体" w:cs="宋体"/>
                <w:color w:val="000000"/>
                <w:sz w:val="16"/>
                <w:szCs w:val="16"/>
              </w:rPr>
            </w:pPr>
          </w:p>
        </w:tc>
      </w:tr>
      <w:tr w14:paraId="12BA80B7">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8987D">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BC9BE05">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7BD5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1339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B60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婴幼儿早期教育方法与活动设计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27BE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ED76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6F00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CE4F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D8FA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395C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F85E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F377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4395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67EB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C8A6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245B6">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A01F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13DE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80C8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3FBAB">
            <w:pPr>
              <w:jc w:val="center"/>
              <w:rPr>
                <w:rFonts w:ascii="宋体" w:hAnsi="宋体" w:eastAsia="宋体" w:cs="宋体"/>
                <w:color w:val="000000"/>
                <w:sz w:val="16"/>
                <w:szCs w:val="16"/>
              </w:rPr>
            </w:pPr>
          </w:p>
        </w:tc>
      </w:tr>
      <w:tr w14:paraId="46A25AF9">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FFC0D">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6CE6A5">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28A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37BD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D8FB4">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婴幼儿日常生活照料</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D9EB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2354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310B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C084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9DAF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78FB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A5B2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729F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C38D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1DED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2D83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25CA0">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0E1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F571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015C0">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5C9D6">
            <w:pPr>
              <w:jc w:val="center"/>
              <w:rPr>
                <w:rFonts w:ascii="宋体" w:hAnsi="宋体" w:eastAsia="宋体" w:cs="宋体"/>
                <w:color w:val="000000"/>
                <w:sz w:val="16"/>
                <w:szCs w:val="16"/>
              </w:rPr>
            </w:pPr>
          </w:p>
        </w:tc>
      </w:tr>
      <w:tr w14:paraId="2EAE8C04">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2198E">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9E37D9B">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B8A6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24D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9DD6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婴幼儿托育服务市场分析</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EA03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85A4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D34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BF19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C7A2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5837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D746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7076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B433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1FBD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6C6E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FAE9">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3853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37D7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FE42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AEC12">
            <w:pPr>
              <w:jc w:val="center"/>
              <w:rPr>
                <w:rFonts w:ascii="宋体" w:hAnsi="宋体" w:eastAsia="宋体" w:cs="宋体"/>
                <w:color w:val="000000"/>
                <w:sz w:val="16"/>
                <w:szCs w:val="16"/>
              </w:rPr>
            </w:pPr>
          </w:p>
        </w:tc>
      </w:tr>
      <w:tr w14:paraId="74F77B18">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62666">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DF7D46">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5EBD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D3371">
            <w:pPr>
              <w:widowControl/>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E807">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婴幼儿生理基础</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079E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12A0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C1BE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B842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A2A2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1663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08F7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9AA8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0C97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EC17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82C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4481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F0AC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215C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B515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01915">
            <w:pPr>
              <w:jc w:val="center"/>
              <w:rPr>
                <w:rFonts w:ascii="宋体" w:hAnsi="宋体" w:eastAsia="宋体" w:cs="宋体"/>
                <w:color w:val="000000"/>
                <w:sz w:val="16"/>
                <w:szCs w:val="16"/>
              </w:rPr>
            </w:pPr>
          </w:p>
        </w:tc>
      </w:tr>
      <w:tr w14:paraId="26E272DD">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C3AFA">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EC40EF">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D12A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589C7">
            <w:pPr>
              <w:widowControl/>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9FC03">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婴幼儿卫生保健</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AE1F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4CAF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ED3C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6985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8459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4E87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BEB3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86C8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325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13D3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4978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FE997">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17F1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32E4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900C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B5234">
            <w:pPr>
              <w:jc w:val="center"/>
              <w:rPr>
                <w:rFonts w:ascii="宋体" w:hAnsi="宋体" w:eastAsia="宋体" w:cs="宋体"/>
                <w:color w:val="000000"/>
                <w:sz w:val="16"/>
                <w:szCs w:val="16"/>
              </w:rPr>
            </w:pPr>
          </w:p>
        </w:tc>
      </w:tr>
      <w:tr w14:paraId="68BDB6BB">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2B83D">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21460D3">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CE93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9</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3A63C">
            <w:pPr>
              <w:widowControl/>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A5B01">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托幼机构管理务实</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6E0F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2249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DD73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DDBE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4B7E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EE97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EA6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FF28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3C92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7356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0384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B0B51">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9912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E80F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0D3F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6A165">
            <w:pPr>
              <w:jc w:val="center"/>
              <w:rPr>
                <w:rFonts w:ascii="宋体" w:hAnsi="宋体" w:eastAsia="宋体" w:cs="宋体"/>
                <w:color w:val="000000"/>
                <w:sz w:val="16"/>
                <w:szCs w:val="16"/>
              </w:rPr>
            </w:pPr>
          </w:p>
        </w:tc>
      </w:tr>
      <w:tr w14:paraId="11A43548">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652EE">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94F4986">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F93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10</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B7240">
            <w:pPr>
              <w:widowControl/>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7342B">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婴幼儿学习与发展</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3870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0B83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6E35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7EAA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216B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B818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2D21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D0E4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1DD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A0CC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7B8F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E2736">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80CD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20D8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1FC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0315C">
            <w:pPr>
              <w:jc w:val="center"/>
              <w:rPr>
                <w:rFonts w:ascii="宋体" w:hAnsi="宋体" w:eastAsia="宋体" w:cs="宋体"/>
                <w:color w:val="000000"/>
                <w:sz w:val="16"/>
                <w:szCs w:val="16"/>
              </w:rPr>
            </w:pPr>
          </w:p>
        </w:tc>
      </w:tr>
      <w:tr w14:paraId="563825F9">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12C9E">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02F4AC3">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F61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3E0A0">
            <w:pPr>
              <w:widowControl/>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505BB">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婴幼儿照护服务政策法规</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408B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59A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E04C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0796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3A0C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0B4F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BBA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7B6C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99FE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DA1E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9BB2B">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E592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13E4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7305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C6C8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0F64C">
            <w:pPr>
              <w:jc w:val="center"/>
              <w:rPr>
                <w:rFonts w:ascii="宋体" w:hAnsi="宋体" w:eastAsia="宋体" w:cs="宋体"/>
                <w:color w:val="000000"/>
                <w:sz w:val="16"/>
                <w:szCs w:val="16"/>
              </w:rPr>
            </w:pPr>
          </w:p>
        </w:tc>
      </w:tr>
      <w:tr w14:paraId="125A8458">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C7276">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BAD81EB">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FBF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0064B">
            <w:pPr>
              <w:widowControl/>
              <w:textAlignment w:val="center"/>
              <w:rPr>
                <w:rFonts w:ascii="宋体" w:hAnsi="宋体" w:eastAsia="宋体" w:cs="宋体"/>
                <w:color w:val="000000"/>
                <w:sz w:val="16"/>
                <w:szCs w:val="16"/>
              </w:rPr>
            </w:pPr>
            <w:r>
              <w:rPr>
                <w:rFonts w:hint="eastAsia" w:ascii="宋体" w:hAnsi="宋体" w:eastAsia="宋体" w:cs="宋体"/>
                <w:color w:val="000000"/>
                <w:sz w:val="16"/>
                <w:szCs w:val="16"/>
              </w:rPr>
              <w:t>JY0</w:t>
            </w:r>
            <w:r>
              <w:rPr>
                <w:rFonts w:hint="eastAsia" w:ascii="宋体" w:hAnsi="宋体" w:eastAsia="宋体" w:cs="宋体"/>
                <w:color w:val="000000"/>
                <w:sz w:val="16"/>
                <w:szCs w:val="16"/>
                <w:lang w:val="en-US" w:eastAsia="zh-CN"/>
              </w:rPr>
              <w:t>3</w:t>
            </w:r>
            <w:r>
              <w:rPr>
                <w:rFonts w:hint="eastAsia" w:ascii="宋体" w:hAnsi="宋体" w:eastAsia="宋体" w:cs="宋体"/>
                <w:color w:val="000000"/>
                <w:sz w:val="16"/>
                <w:szCs w:val="16"/>
              </w:rPr>
              <w:t>03012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8AC89">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婴幼儿营养与喂养</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D7F8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1F70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C47C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A93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DD45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29C2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F4F5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29AD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D96D0">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BC48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42F01">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5762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2FFC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D2D1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2C84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91F1A">
            <w:pPr>
              <w:jc w:val="center"/>
              <w:rPr>
                <w:rFonts w:ascii="宋体" w:hAnsi="宋体" w:eastAsia="宋体" w:cs="宋体"/>
                <w:color w:val="000000"/>
                <w:sz w:val="16"/>
                <w:szCs w:val="16"/>
              </w:rPr>
            </w:pPr>
          </w:p>
        </w:tc>
      </w:tr>
      <w:tr w14:paraId="2B59F5F3">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A41FF">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EE09B77">
            <w:pPr>
              <w:jc w:val="center"/>
              <w:rPr>
                <w:rFonts w:ascii="宋体" w:hAnsi="宋体" w:eastAsia="宋体" w:cs="宋体"/>
                <w:b/>
                <w:bCs/>
                <w:color w:val="000000"/>
                <w:sz w:val="16"/>
                <w:szCs w:val="16"/>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887091">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3FFE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3DC80">
            <w:pPr>
              <w:jc w:val="center"/>
              <w:rPr>
                <w:rFonts w:ascii="宋体" w:hAnsi="宋体" w:eastAsia="宋体" w:cs="宋体"/>
                <w:color w:val="000000"/>
                <w:sz w:val="16"/>
                <w:szCs w:val="16"/>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0D97">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65</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0D37D">
            <w:pPr>
              <w:widowControl/>
              <w:jc w:val="center"/>
              <w:textAlignment w:val="center"/>
              <w:rPr>
                <w:rFonts w:hint="default" w:ascii="宋体" w:hAnsi="宋体" w:eastAsia="宋体" w:cs="宋体"/>
                <w:b/>
                <w:bCs/>
                <w:color w:val="000000"/>
                <w:sz w:val="16"/>
                <w:szCs w:val="16"/>
                <w:lang w:val="en-US" w:eastAsia="zh-CN"/>
              </w:rPr>
            </w:pPr>
            <w:r>
              <w:rPr>
                <w:rFonts w:hint="eastAsia" w:ascii="宋体" w:hAnsi="宋体" w:eastAsia="宋体" w:cs="宋体"/>
                <w:b/>
                <w:bCs/>
                <w:color w:val="000000"/>
                <w:kern w:val="0"/>
                <w:sz w:val="16"/>
                <w:szCs w:val="16"/>
                <w:lang w:val="en-US" w:eastAsia="zh-CN" w:bidi="ar"/>
              </w:rPr>
              <w:t>1040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1E279">
            <w:pPr>
              <w:widowControl/>
              <w:jc w:val="center"/>
              <w:textAlignment w:val="center"/>
              <w:rPr>
                <w:rFonts w:hint="default" w:ascii="宋体" w:hAnsi="宋体" w:eastAsia="宋体" w:cs="宋体"/>
                <w:b/>
                <w:bCs/>
                <w:color w:val="000000"/>
                <w:sz w:val="16"/>
                <w:szCs w:val="16"/>
                <w:lang w:val="en-US" w:eastAsia="zh-CN"/>
              </w:rPr>
            </w:pPr>
            <w:r>
              <w:rPr>
                <w:rFonts w:hint="eastAsia" w:ascii="宋体" w:hAnsi="宋体" w:eastAsia="宋体" w:cs="宋体"/>
                <w:b/>
                <w:bCs/>
                <w:color w:val="000000"/>
                <w:kern w:val="0"/>
                <w:sz w:val="16"/>
                <w:szCs w:val="16"/>
                <w:lang w:val="en-US" w:eastAsia="zh-CN" w:bidi="ar"/>
              </w:rPr>
              <w:t>616</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2DD8C">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424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23A7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01AC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1E4C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ECBB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DA482">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6FC46">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664A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B9EB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B522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74F6F">
            <w:pPr>
              <w:jc w:val="center"/>
              <w:rPr>
                <w:rFonts w:ascii="宋体" w:hAnsi="宋体" w:eastAsia="宋体" w:cs="宋体"/>
                <w:color w:val="000000"/>
                <w:sz w:val="16"/>
                <w:szCs w:val="16"/>
              </w:rPr>
            </w:pPr>
          </w:p>
        </w:tc>
      </w:tr>
      <w:tr w14:paraId="074BEE2F">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05944">
            <w:pPr>
              <w:jc w:val="center"/>
              <w:rPr>
                <w:rFonts w:ascii="宋体" w:hAnsi="宋体" w:eastAsia="宋体" w:cs="宋体"/>
                <w:b/>
                <w:bCs/>
                <w:color w:val="000000"/>
                <w:sz w:val="18"/>
                <w:szCs w:val="18"/>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3BCF59">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D1BA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B33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0401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E84B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sz w:val="16"/>
                <w:szCs w:val="16"/>
              </w:rPr>
              <w:t>0-3岁婴幼儿早期教育指导</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E0B5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975C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F0F2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0FB2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90724">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20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606F7">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60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067745">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0AEB4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B9882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FE6715">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2BE5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DAF61">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78CE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AFD1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A232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D7915">
            <w:pPr>
              <w:jc w:val="center"/>
              <w:rPr>
                <w:rFonts w:ascii="宋体" w:hAnsi="宋体" w:eastAsia="宋体" w:cs="宋体"/>
                <w:color w:val="000000"/>
                <w:sz w:val="16"/>
                <w:szCs w:val="16"/>
              </w:rPr>
            </w:pPr>
          </w:p>
        </w:tc>
      </w:tr>
      <w:tr w14:paraId="38D01B1D">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1092D">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91D9462">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028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8EAE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0402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053A0">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婴幼儿回应性照护</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BC85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B97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998C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sz w:val="16"/>
                <w:szCs w:val="16"/>
              </w:rPr>
              <w:t>7</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0080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5EC0C">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32</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F6B48">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80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B8ED50">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DB242F7">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F578E0">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FECF99">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0BB14">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4E2C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6813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5BA0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771A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3F57B">
            <w:pPr>
              <w:jc w:val="center"/>
              <w:rPr>
                <w:rFonts w:ascii="宋体" w:hAnsi="宋体" w:eastAsia="宋体" w:cs="宋体"/>
                <w:color w:val="000000"/>
                <w:sz w:val="16"/>
                <w:szCs w:val="16"/>
              </w:rPr>
            </w:pPr>
          </w:p>
        </w:tc>
      </w:tr>
      <w:tr w14:paraId="7D14CC39">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4AB47">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E6E110D">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DD3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A5EC5">
            <w:pPr>
              <w:widowControl/>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0403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D742B">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婴幼儿游戏活动实践</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A066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5CA0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A908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F9E0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81F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5627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4E038E">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3266F1">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33462A">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012C0E">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2AC46">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5218A">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842D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8D16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C197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94F19">
            <w:pPr>
              <w:jc w:val="center"/>
              <w:rPr>
                <w:rFonts w:ascii="宋体" w:hAnsi="宋体" w:eastAsia="宋体" w:cs="宋体"/>
                <w:color w:val="000000"/>
                <w:sz w:val="16"/>
                <w:szCs w:val="16"/>
              </w:rPr>
            </w:pPr>
          </w:p>
        </w:tc>
      </w:tr>
      <w:tr w14:paraId="1697934E">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49AAC">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034E54">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5C5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C580">
            <w:pPr>
              <w:widowControl/>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0404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E380E">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婴幼儿伤害预防与处理</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0B26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92B3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0D43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C1BC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E38D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7705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68F53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170914">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5784E6">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E6920B">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CBD77">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D6570">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AE6E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7583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1935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6011">
            <w:pPr>
              <w:jc w:val="center"/>
              <w:rPr>
                <w:rFonts w:ascii="宋体" w:hAnsi="宋体" w:eastAsia="宋体" w:cs="宋体"/>
                <w:color w:val="000000"/>
                <w:sz w:val="16"/>
                <w:szCs w:val="16"/>
              </w:rPr>
            </w:pPr>
          </w:p>
        </w:tc>
      </w:tr>
      <w:tr w14:paraId="7C9B449F">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54F1E">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8EA9D1A">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8CAE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EFCDC">
            <w:pPr>
              <w:widowControl/>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0405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5152B">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婴幼儿行为观察与记录</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1B8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AAC2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F9C5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A405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83CE6">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32</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CA1A7">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80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202A5A">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06CCAA">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A124B4">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B1642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54DA7">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B87F2">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5234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B680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00E4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F76F2">
            <w:pPr>
              <w:jc w:val="center"/>
              <w:rPr>
                <w:rFonts w:ascii="宋体" w:hAnsi="宋体" w:eastAsia="宋体" w:cs="宋体"/>
                <w:color w:val="000000"/>
                <w:sz w:val="16"/>
                <w:szCs w:val="16"/>
              </w:rPr>
            </w:pPr>
          </w:p>
        </w:tc>
      </w:tr>
      <w:tr w14:paraId="20C9C54A">
        <w:tblPrEx>
          <w:tblCellMar>
            <w:top w:w="0" w:type="dxa"/>
            <w:left w:w="108" w:type="dxa"/>
            <w:bottom w:w="0" w:type="dxa"/>
            <w:right w:w="108" w:type="dxa"/>
          </w:tblCellMar>
        </w:tblPrEx>
        <w:trPr>
          <w:trHeight w:val="29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C2FE0">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0714BC0">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46D7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6919E">
            <w:pPr>
              <w:widowControl/>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0406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DB7CE">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婴幼儿家园共育</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16D5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D02A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718A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5C08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5FC7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9241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1ACBC9">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08E20B">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CC166B">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347EBA">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3E7F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ED64B">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3F88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5688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F00D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64F0D">
            <w:pPr>
              <w:jc w:val="center"/>
              <w:rPr>
                <w:rFonts w:ascii="宋体" w:hAnsi="宋体" w:eastAsia="宋体" w:cs="宋体"/>
                <w:color w:val="000000"/>
                <w:sz w:val="16"/>
                <w:szCs w:val="16"/>
              </w:rPr>
            </w:pPr>
          </w:p>
        </w:tc>
      </w:tr>
      <w:tr w14:paraId="02DFE0B5">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86334">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CFD4745">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64A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CF5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0407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D0799">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婴幼儿常见</w:t>
            </w:r>
            <w:r>
              <w:rPr>
                <w:rFonts w:hint="eastAsia" w:ascii="宋体" w:hAnsi="宋体" w:eastAsia="宋体" w:cs="宋体"/>
                <w:color w:val="000000"/>
                <w:sz w:val="16"/>
                <w:szCs w:val="16"/>
              </w:rPr>
              <w:t>疾</w:t>
            </w:r>
            <w:r>
              <w:rPr>
                <w:rFonts w:ascii="宋体" w:hAnsi="宋体" w:eastAsia="宋体" w:cs="宋体"/>
                <w:color w:val="000000"/>
                <w:sz w:val="16"/>
                <w:szCs w:val="16"/>
              </w:rPr>
              <w:t>病</w:t>
            </w:r>
            <w:r>
              <w:rPr>
                <w:rFonts w:hint="eastAsia" w:ascii="宋体" w:hAnsi="宋体" w:eastAsia="宋体" w:cs="宋体"/>
                <w:color w:val="000000"/>
                <w:sz w:val="16"/>
                <w:szCs w:val="16"/>
              </w:rPr>
              <w:t>与</w:t>
            </w:r>
            <w:r>
              <w:rPr>
                <w:rFonts w:ascii="宋体" w:hAnsi="宋体" w:eastAsia="宋体" w:cs="宋体"/>
                <w:color w:val="000000"/>
                <w:sz w:val="16"/>
                <w:szCs w:val="16"/>
              </w:rPr>
              <w:t>预防</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B9B9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56A3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DBFB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FA05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F7317">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20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53712">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60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973C6F">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480ABB">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88B928">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F1AAA2">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E9BF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4AEBE">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7A61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70E9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E34E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E2558">
            <w:pPr>
              <w:jc w:val="center"/>
              <w:rPr>
                <w:rFonts w:ascii="宋体" w:hAnsi="宋体" w:eastAsia="宋体" w:cs="宋体"/>
                <w:color w:val="000000"/>
                <w:sz w:val="16"/>
                <w:szCs w:val="16"/>
              </w:rPr>
            </w:pPr>
          </w:p>
        </w:tc>
      </w:tr>
      <w:tr w14:paraId="10668C9A">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EDE6D">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83C564">
            <w:pPr>
              <w:jc w:val="center"/>
              <w:rPr>
                <w:rFonts w:ascii="宋体" w:hAnsi="宋体" w:eastAsia="宋体" w:cs="宋体"/>
                <w:b/>
                <w:bCs/>
                <w:color w:val="000000"/>
                <w:sz w:val="16"/>
                <w:szCs w:val="16"/>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E4A7BA">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8E21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2470E">
            <w:pPr>
              <w:jc w:val="center"/>
              <w:rPr>
                <w:rFonts w:ascii="宋体" w:hAnsi="宋体" w:eastAsia="宋体" w:cs="宋体"/>
                <w:color w:val="000000"/>
                <w:sz w:val="16"/>
                <w:szCs w:val="16"/>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E054A">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39</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17E7C">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624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E5D52">
            <w:pPr>
              <w:widowControl/>
              <w:jc w:val="center"/>
              <w:textAlignment w:val="center"/>
              <w:rPr>
                <w:rFonts w:hint="default" w:ascii="宋体" w:hAnsi="宋体" w:eastAsia="宋体" w:cs="宋体"/>
                <w:b/>
                <w:bCs/>
                <w:color w:val="000000"/>
                <w:sz w:val="16"/>
                <w:szCs w:val="16"/>
                <w:lang w:val="en-US" w:eastAsia="zh-CN"/>
              </w:rPr>
            </w:pPr>
            <w:r>
              <w:rPr>
                <w:rFonts w:hint="eastAsia" w:ascii="宋体" w:hAnsi="宋体" w:eastAsia="宋体" w:cs="宋体"/>
                <w:b/>
                <w:bCs/>
                <w:color w:val="000000"/>
                <w:kern w:val="0"/>
                <w:sz w:val="16"/>
                <w:szCs w:val="16"/>
                <w:lang w:val="en-US" w:eastAsia="zh-CN" w:bidi="ar"/>
              </w:rPr>
              <w:t>224</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98D92">
            <w:pPr>
              <w:widowControl/>
              <w:jc w:val="center"/>
              <w:textAlignment w:val="center"/>
              <w:rPr>
                <w:rFonts w:hint="default" w:ascii="宋体" w:hAnsi="宋体" w:eastAsia="宋体" w:cs="宋体"/>
                <w:b/>
                <w:bCs/>
                <w:color w:val="000000"/>
                <w:sz w:val="16"/>
                <w:szCs w:val="16"/>
                <w:lang w:val="en-US" w:eastAsia="zh-CN"/>
              </w:rPr>
            </w:pPr>
            <w:r>
              <w:rPr>
                <w:rFonts w:hint="eastAsia" w:ascii="宋体" w:hAnsi="宋体" w:eastAsia="宋体" w:cs="宋体"/>
                <w:b/>
                <w:bCs/>
                <w:color w:val="000000"/>
                <w:kern w:val="0"/>
                <w:sz w:val="16"/>
                <w:szCs w:val="16"/>
                <w:lang w:val="en-US" w:eastAsia="zh-CN" w:bidi="ar"/>
              </w:rPr>
              <w:t>400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D416BD">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7FD827">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00069F">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01D646">
            <w:pPr>
              <w:rPr>
                <w:rFonts w:ascii="宋体" w:hAnsi="宋体" w:eastAsia="宋体" w:cs="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6ECCA">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26F1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63DB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9D3C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210B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CA757">
            <w:pPr>
              <w:jc w:val="center"/>
              <w:rPr>
                <w:rFonts w:ascii="宋体" w:hAnsi="宋体" w:eastAsia="宋体" w:cs="宋体"/>
                <w:color w:val="000000"/>
                <w:sz w:val="16"/>
                <w:szCs w:val="16"/>
              </w:rPr>
            </w:pPr>
          </w:p>
        </w:tc>
      </w:tr>
      <w:tr w14:paraId="03C11C63">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387E6">
            <w:pPr>
              <w:jc w:val="center"/>
              <w:rPr>
                <w:rFonts w:ascii="宋体" w:hAnsi="宋体" w:eastAsia="宋体" w:cs="宋体"/>
                <w:b/>
                <w:bCs/>
                <w:color w:val="000000"/>
                <w:sz w:val="18"/>
                <w:szCs w:val="18"/>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A433F8">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专</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业</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拓</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展</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895D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75BEC">
            <w:pPr>
              <w:widowControl/>
              <w:jc w:val="center"/>
              <w:textAlignment w:val="center"/>
              <w:rPr>
                <w:rFonts w:ascii="宋体" w:hAnsi="宋体" w:eastAsia="宋体" w:cs="宋体"/>
                <w:color w:val="000000"/>
                <w:kern w:val="2"/>
                <w:sz w:val="16"/>
                <w:szCs w:val="16"/>
                <w:lang w:val="en-US" w:eastAsia="zh-CN" w:bidi="ar-SA"/>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w:t>
            </w:r>
            <w:r>
              <w:rPr>
                <w:rFonts w:hint="eastAsia" w:ascii="宋体" w:hAnsi="宋体" w:eastAsia="宋体" w:cs="宋体"/>
                <w:color w:val="000000"/>
                <w:kern w:val="0"/>
                <w:sz w:val="16"/>
                <w:szCs w:val="16"/>
                <w:lang w:val="en-US" w:eastAsia="zh-CN" w:bidi="ar"/>
              </w:rPr>
              <w:t>5</w:t>
            </w:r>
            <w:r>
              <w:rPr>
                <w:rFonts w:hint="eastAsia" w:ascii="宋体" w:hAnsi="宋体" w:eastAsia="宋体" w:cs="宋体"/>
                <w:color w:val="000000"/>
                <w:kern w:val="0"/>
                <w:sz w:val="16"/>
                <w:szCs w:val="16"/>
                <w:lang w:bidi="ar"/>
              </w:rPr>
              <w:t>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C59A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0-3岁婴幼儿玩具与游戏</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EAD6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7562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BF4F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B48F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7C401">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295E">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sz w:val="16"/>
                <w:szCs w:val="16"/>
                <w:lang w:val="en-US" w:eastAsia="zh-CN"/>
              </w:rPr>
              <w:t>54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B2EDC">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21386">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5DE2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5C39F">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5566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2D8E5">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8FDF9">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B40EA">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9EB85">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0D103">
            <w:pPr>
              <w:jc w:val="center"/>
              <w:rPr>
                <w:rFonts w:ascii="宋体" w:hAnsi="宋体" w:eastAsia="宋体" w:cs="宋体"/>
                <w:color w:val="000000"/>
                <w:sz w:val="16"/>
                <w:szCs w:val="16"/>
              </w:rPr>
            </w:pPr>
          </w:p>
        </w:tc>
      </w:tr>
      <w:tr w14:paraId="7F3827D1">
        <w:tblPrEx>
          <w:tblCellMar>
            <w:top w:w="0" w:type="dxa"/>
            <w:left w:w="108" w:type="dxa"/>
            <w:bottom w:w="0" w:type="dxa"/>
            <w:right w:w="108" w:type="dxa"/>
          </w:tblCellMar>
        </w:tblPrEx>
        <w:trPr>
          <w:trHeight w:val="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10600">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2B69F">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B90E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83EB">
            <w:pPr>
              <w:widowControl/>
              <w:jc w:val="center"/>
              <w:textAlignment w:val="center"/>
              <w:rPr>
                <w:rFonts w:ascii="宋体" w:hAnsi="宋体" w:eastAsia="宋体" w:cs="宋体"/>
                <w:color w:val="000000"/>
                <w:kern w:val="2"/>
                <w:sz w:val="16"/>
                <w:szCs w:val="16"/>
                <w:lang w:val="en-US" w:eastAsia="zh-CN" w:bidi="ar-SA"/>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w:t>
            </w:r>
            <w:r>
              <w:rPr>
                <w:rFonts w:hint="eastAsia" w:ascii="宋体" w:hAnsi="宋体" w:eastAsia="宋体" w:cs="宋体"/>
                <w:color w:val="000000"/>
                <w:kern w:val="0"/>
                <w:sz w:val="16"/>
                <w:szCs w:val="16"/>
                <w:lang w:val="en-US" w:eastAsia="zh-CN" w:bidi="ar"/>
              </w:rPr>
              <w:t>5</w:t>
            </w:r>
            <w:r>
              <w:rPr>
                <w:rFonts w:hint="eastAsia" w:ascii="宋体" w:hAnsi="宋体" w:eastAsia="宋体" w:cs="宋体"/>
                <w:color w:val="000000"/>
                <w:kern w:val="0"/>
                <w:sz w:val="16"/>
                <w:szCs w:val="16"/>
                <w:lang w:bidi="ar"/>
              </w:rPr>
              <w:t>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6933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幼儿感统训练</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032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0A2C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652D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7A87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1A28A">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79C81">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54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1569A">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774C1">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13306">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496D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E69E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D67E2">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49FE">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0E1A4">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1FD01">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ED916">
            <w:pPr>
              <w:jc w:val="center"/>
              <w:rPr>
                <w:rFonts w:ascii="宋体" w:hAnsi="宋体" w:eastAsia="宋体" w:cs="宋体"/>
                <w:color w:val="000000"/>
                <w:sz w:val="16"/>
                <w:szCs w:val="16"/>
              </w:rPr>
            </w:pPr>
          </w:p>
        </w:tc>
      </w:tr>
      <w:tr w14:paraId="4FE91E79">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0867E">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8FF33">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FEB1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C27F">
            <w:pPr>
              <w:widowControl/>
              <w:textAlignment w:val="center"/>
              <w:rPr>
                <w:rFonts w:ascii="宋体" w:hAnsi="宋体" w:eastAsia="宋体" w:cs="宋体"/>
                <w:color w:val="000000"/>
                <w:kern w:val="2"/>
                <w:sz w:val="16"/>
                <w:szCs w:val="16"/>
                <w:lang w:val="en-US" w:eastAsia="zh-CN" w:bidi="ar-SA"/>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w:t>
            </w:r>
            <w:r>
              <w:rPr>
                <w:rFonts w:hint="eastAsia" w:ascii="宋体" w:hAnsi="宋体" w:eastAsia="宋体" w:cs="宋体"/>
                <w:color w:val="000000"/>
                <w:kern w:val="0"/>
                <w:sz w:val="16"/>
                <w:szCs w:val="16"/>
                <w:lang w:val="en-US" w:eastAsia="zh-CN" w:bidi="ar"/>
              </w:rPr>
              <w:t>5</w:t>
            </w:r>
            <w:r>
              <w:rPr>
                <w:rFonts w:hint="eastAsia" w:ascii="宋体" w:hAnsi="宋体" w:eastAsia="宋体" w:cs="宋体"/>
                <w:color w:val="000000"/>
                <w:kern w:val="0"/>
                <w:sz w:val="16"/>
                <w:szCs w:val="16"/>
                <w:lang w:bidi="ar"/>
              </w:rPr>
              <w:t>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7D78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幼儿弹唱</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3568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2EA4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318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873E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9D56C">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972AE">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54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29574">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E23D7">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F3D2">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1F435">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2767">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2627">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A93A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54B74">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AE17D">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7A1FC">
            <w:pPr>
              <w:jc w:val="center"/>
              <w:rPr>
                <w:rFonts w:ascii="宋体" w:hAnsi="宋体" w:eastAsia="宋体" w:cs="宋体"/>
                <w:color w:val="000000"/>
                <w:sz w:val="16"/>
                <w:szCs w:val="16"/>
              </w:rPr>
            </w:pPr>
          </w:p>
        </w:tc>
      </w:tr>
      <w:tr w14:paraId="4F3735EC">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DCE85">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D3394">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2B4F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DA2D6">
            <w:pPr>
              <w:widowControl/>
              <w:textAlignment w:val="center"/>
              <w:rPr>
                <w:rFonts w:ascii="宋体" w:hAnsi="宋体" w:eastAsia="宋体" w:cs="宋体"/>
                <w:color w:val="000000"/>
                <w:kern w:val="2"/>
                <w:sz w:val="16"/>
                <w:szCs w:val="16"/>
                <w:lang w:val="en-US" w:eastAsia="zh-CN" w:bidi="ar-SA"/>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w:t>
            </w:r>
            <w:r>
              <w:rPr>
                <w:rFonts w:hint="eastAsia" w:ascii="宋体" w:hAnsi="宋体" w:eastAsia="宋体" w:cs="宋体"/>
                <w:color w:val="000000"/>
                <w:kern w:val="0"/>
                <w:sz w:val="16"/>
                <w:szCs w:val="16"/>
                <w:lang w:val="en-US" w:eastAsia="zh-CN" w:bidi="ar"/>
              </w:rPr>
              <w:t>5</w:t>
            </w:r>
            <w:r>
              <w:rPr>
                <w:rFonts w:hint="eastAsia" w:ascii="宋体" w:hAnsi="宋体" w:eastAsia="宋体" w:cs="宋体"/>
                <w:color w:val="000000"/>
                <w:kern w:val="0"/>
                <w:sz w:val="16"/>
                <w:szCs w:val="16"/>
                <w:lang w:bidi="ar"/>
              </w:rPr>
              <w:t>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4E66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幼儿律动与舞蹈</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CD15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67FC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2990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7D60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B6EC7">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7FE3F">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54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3DA61">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7FF1F">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5EC1F">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2B132">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5AE20">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1B67A">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A42B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FC04A">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8C0B7">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12EB3">
            <w:pPr>
              <w:jc w:val="center"/>
              <w:rPr>
                <w:rFonts w:ascii="宋体" w:hAnsi="宋体" w:eastAsia="宋体" w:cs="宋体"/>
                <w:color w:val="000000"/>
                <w:sz w:val="16"/>
                <w:szCs w:val="16"/>
              </w:rPr>
            </w:pPr>
          </w:p>
        </w:tc>
      </w:tr>
      <w:tr w14:paraId="30C41AC2">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405F0">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512BE">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FCA3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B0319">
            <w:pPr>
              <w:widowControl/>
              <w:textAlignment w:val="center"/>
              <w:rPr>
                <w:rFonts w:ascii="宋体" w:hAnsi="宋体" w:eastAsia="宋体" w:cs="宋体"/>
                <w:color w:val="000000"/>
                <w:kern w:val="2"/>
                <w:sz w:val="16"/>
                <w:szCs w:val="16"/>
                <w:lang w:val="en-US" w:eastAsia="zh-CN" w:bidi="ar-SA"/>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w:t>
            </w:r>
            <w:r>
              <w:rPr>
                <w:rFonts w:hint="eastAsia" w:ascii="宋体" w:hAnsi="宋体" w:eastAsia="宋体" w:cs="宋体"/>
                <w:color w:val="000000"/>
                <w:kern w:val="0"/>
                <w:sz w:val="16"/>
                <w:szCs w:val="16"/>
                <w:lang w:val="en-US" w:eastAsia="zh-CN" w:bidi="ar"/>
              </w:rPr>
              <w:t>5</w:t>
            </w:r>
            <w:r>
              <w:rPr>
                <w:rFonts w:hint="eastAsia" w:ascii="宋体" w:hAnsi="宋体" w:eastAsia="宋体" w:cs="宋体"/>
                <w:color w:val="000000"/>
                <w:kern w:val="0"/>
                <w:sz w:val="16"/>
                <w:szCs w:val="16"/>
                <w:lang w:bidi="ar"/>
              </w:rPr>
              <w:t>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45EB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幼儿美术教育</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42CA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9127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8047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FD35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52D62">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FF8D1">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54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7968">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77C8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708EC">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6309A">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8F339">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D382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9280">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9E0B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408F">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2FF8F">
            <w:pPr>
              <w:jc w:val="center"/>
              <w:rPr>
                <w:rFonts w:ascii="宋体" w:hAnsi="宋体" w:eastAsia="宋体" w:cs="宋体"/>
                <w:color w:val="000000"/>
                <w:sz w:val="16"/>
                <w:szCs w:val="16"/>
              </w:rPr>
            </w:pPr>
          </w:p>
        </w:tc>
      </w:tr>
      <w:tr w14:paraId="5D29B457">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76EEA">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95028">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5D45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09F92">
            <w:pPr>
              <w:widowControl/>
              <w:textAlignment w:val="center"/>
              <w:rPr>
                <w:rFonts w:ascii="宋体" w:hAnsi="宋体" w:eastAsia="宋体" w:cs="宋体"/>
                <w:color w:val="000000"/>
                <w:kern w:val="2"/>
                <w:sz w:val="16"/>
                <w:szCs w:val="16"/>
                <w:lang w:val="en-US" w:eastAsia="zh-CN" w:bidi="ar-SA"/>
              </w:rPr>
            </w:pPr>
            <w:r>
              <w:rPr>
                <w:rFonts w:hint="eastAsia" w:ascii="宋体" w:hAnsi="宋体" w:eastAsia="宋体" w:cs="宋体"/>
                <w:color w:val="000000"/>
                <w:kern w:val="0"/>
                <w:sz w:val="16"/>
                <w:szCs w:val="16"/>
                <w:lang w:bidi="ar"/>
              </w:rPr>
              <w:t>JY0</w:t>
            </w:r>
            <w:r>
              <w:rPr>
                <w:rFonts w:hint="eastAsia" w:ascii="宋体" w:hAnsi="宋体" w:eastAsia="宋体" w:cs="宋体"/>
                <w:color w:val="000000"/>
                <w:kern w:val="0"/>
                <w:sz w:val="16"/>
                <w:szCs w:val="16"/>
                <w:lang w:val="en-US" w:eastAsia="zh-CN" w:bidi="ar"/>
              </w:rPr>
              <w:t>3</w:t>
            </w:r>
            <w:r>
              <w:rPr>
                <w:rFonts w:hint="eastAsia" w:ascii="宋体" w:hAnsi="宋体" w:eastAsia="宋体" w:cs="宋体"/>
                <w:color w:val="000000"/>
                <w:kern w:val="0"/>
                <w:sz w:val="16"/>
                <w:szCs w:val="16"/>
                <w:lang w:bidi="ar"/>
              </w:rPr>
              <w:t>0</w:t>
            </w:r>
            <w:r>
              <w:rPr>
                <w:rFonts w:hint="eastAsia" w:ascii="宋体" w:hAnsi="宋体" w:eastAsia="宋体" w:cs="宋体"/>
                <w:color w:val="000000"/>
                <w:kern w:val="0"/>
                <w:sz w:val="16"/>
                <w:szCs w:val="16"/>
                <w:lang w:val="en-US" w:eastAsia="zh-CN" w:bidi="ar"/>
              </w:rPr>
              <w:t>5</w:t>
            </w:r>
            <w:r>
              <w:rPr>
                <w:rFonts w:hint="eastAsia" w:ascii="宋体" w:hAnsi="宋体" w:eastAsia="宋体" w:cs="宋体"/>
                <w:color w:val="000000"/>
                <w:kern w:val="0"/>
                <w:sz w:val="16"/>
                <w:szCs w:val="16"/>
                <w:lang w:bidi="ar"/>
              </w:rPr>
              <w:t>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8711C">
            <w:pPr>
              <w:widowControl/>
              <w:jc w:val="center"/>
              <w:textAlignment w:val="center"/>
              <w:rPr>
                <w:rFonts w:ascii="宋体" w:hAnsi="宋体" w:eastAsia="宋体" w:cs="宋体"/>
                <w:color w:val="000000"/>
                <w:sz w:val="16"/>
                <w:szCs w:val="16"/>
              </w:rPr>
            </w:pPr>
            <w:r>
              <w:rPr>
                <w:rFonts w:ascii="宋体" w:hAnsi="宋体" w:eastAsia="宋体" w:cs="宋体"/>
                <w:color w:val="000000"/>
                <w:sz w:val="16"/>
                <w:szCs w:val="16"/>
              </w:rPr>
              <w:t>托幼机构安全管理与应急预案</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7290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EB9F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6489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3A0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09F9D">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10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0AEE1">
            <w:pPr>
              <w:widowControl/>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color w:val="000000"/>
                <w:kern w:val="0"/>
                <w:sz w:val="16"/>
                <w:szCs w:val="16"/>
                <w:lang w:val="en-US" w:eastAsia="zh-CN" w:bidi="ar"/>
              </w:rPr>
              <w:t>54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12D32">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8E1A4">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D66AF">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3DB01">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8868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43AB">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B50D9">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1FA2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2EF4D">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F75A6">
            <w:pPr>
              <w:jc w:val="center"/>
              <w:rPr>
                <w:rFonts w:ascii="宋体" w:hAnsi="宋体" w:eastAsia="宋体" w:cs="宋体"/>
                <w:color w:val="000000"/>
                <w:sz w:val="16"/>
                <w:szCs w:val="16"/>
              </w:rPr>
            </w:pPr>
          </w:p>
        </w:tc>
      </w:tr>
      <w:tr w14:paraId="51568052">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DCCE1">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AC3AE">
            <w:pPr>
              <w:jc w:val="center"/>
              <w:rPr>
                <w:rFonts w:ascii="宋体" w:hAnsi="宋体" w:eastAsia="宋体" w:cs="宋体"/>
                <w:b/>
                <w:bCs/>
                <w:color w:val="000000"/>
                <w:sz w:val="16"/>
                <w:szCs w:val="16"/>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14BF95">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A167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98199">
            <w:pPr>
              <w:jc w:val="center"/>
              <w:rPr>
                <w:rFonts w:ascii="宋体" w:hAnsi="宋体" w:eastAsia="宋体" w:cs="宋体"/>
                <w:color w:val="000000"/>
                <w:sz w:val="16"/>
                <w:szCs w:val="16"/>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9175F">
            <w:pPr>
              <w:widowControl/>
              <w:jc w:val="center"/>
              <w:textAlignment w:val="center"/>
              <w:rPr>
                <w:rFonts w:hint="eastAsia" w:ascii="宋体" w:hAnsi="宋体" w:eastAsia="宋体" w:cs="宋体"/>
                <w:b/>
                <w:bCs/>
                <w:color w:val="000000"/>
                <w:sz w:val="16"/>
                <w:szCs w:val="16"/>
                <w:lang w:val="en-US" w:eastAsia="zh-CN"/>
              </w:rPr>
            </w:pPr>
            <w:r>
              <w:rPr>
                <w:rFonts w:hint="eastAsia" w:ascii="宋体" w:hAnsi="宋体" w:eastAsia="宋体" w:cs="宋体"/>
                <w:b/>
                <w:bCs/>
                <w:color w:val="000000"/>
                <w:kern w:val="0"/>
                <w:sz w:val="16"/>
                <w:szCs w:val="16"/>
                <w:lang w:bidi="ar"/>
              </w:rPr>
              <w:t>2</w:t>
            </w:r>
            <w:r>
              <w:rPr>
                <w:rFonts w:hint="eastAsia" w:ascii="宋体" w:hAnsi="宋体" w:eastAsia="宋体" w:cs="宋体"/>
                <w:b/>
                <w:bCs/>
                <w:color w:val="000000"/>
                <w:kern w:val="0"/>
                <w:sz w:val="16"/>
                <w:szCs w:val="16"/>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AD67E">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384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4604B">
            <w:pPr>
              <w:widowControl/>
              <w:jc w:val="center"/>
              <w:textAlignment w:val="center"/>
              <w:rPr>
                <w:rFonts w:hint="default" w:ascii="宋体" w:hAnsi="宋体" w:eastAsia="宋体" w:cs="宋体"/>
                <w:b/>
                <w:bCs/>
                <w:color w:val="000000"/>
                <w:sz w:val="16"/>
                <w:szCs w:val="16"/>
                <w:lang w:val="en-US" w:eastAsia="zh-CN"/>
              </w:rPr>
            </w:pPr>
            <w:r>
              <w:rPr>
                <w:rFonts w:hint="eastAsia" w:ascii="宋体" w:hAnsi="宋体" w:eastAsia="宋体" w:cs="宋体"/>
                <w:b/>
                <w:bCs/>
                <w:color w:val="000000"/>
                <w:kern w:val="0"/>
                <w:sz w:val="16"/>
                <w:szCs w:val="16"/>
                <w:lang w:val="en-US" w:eastAsia="zh-CN" w:bidi="ar"/>
              </w:rPr>
              <w:t>60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159EB">
            <w:pPr>
              <w:widowControl/>
              <w:jc w:val="center"/>
              <w:textAlignment w:val="center"/>
              <w:rPr>
                <w:rFonts w:hint="default" w:ascii="宋体" w:hAnsi="宋体" w:eastAsia="宋体" w:cs="宋体"/>
                <w:b/>
                <w:bCs/>
                <w:color w:val="000000"/>
                <w:sz w:val="16"/>
                <w:szCs w:val="16"/>
                <w:lang w:val="en-US" w:eastAsia="zh-CN"/>
              </w:rPr>
            </w:pPr>
            <w:r>
              <w:rPr>
                <w:rFonts w:hint="eastAsia" w:ascii="宋体" w:hAnsi="宋体" w:eastAsia="宋体" w:cs="宋体"/>
                <w:b/>
                <w:bCs/>
                <w:color w:val="000000"/>
                <w:kern w:val="0"/>
                <w:sz w:val="16"/>
                <w:szCs w:val="16"/>
                <w:lang w:val="en-US" w:eastAsia="zh-CN" w:bidi="ar"/>
              </w:rPr>
              <w:t>324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DA23B">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9FD70">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D2D15">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F9409">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422C2">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3BC3E">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C6B1A">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FA7C3">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77725">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A8B21">
            <w:pPr>
              <w:jc w:val="center"/>
              <w:rPr>
                <w:rFonts w:ascii="宋体" w:hAnsi="宋体" w:eastAsia="宋体" w:cs="宋体"/>
                <w:color w:val="000000"/>
                <w:sz w:val="16"/>
                <w:szCs w:val="16"/>
              </w:rPr>
            </w:pPr>
          </w:p>
        </w:tc>
      </w:tr>
      <w:tr w14:paraId="26E06D7F">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BB380">
            <w:pPr>
              <w:jc w:val="center"/>
              <w:rPr>
                <w:rFonts w:ascii="宋体" w:hAnsi="宋体" w:eastAsia="宋体" w:cs="宋体"/>
                <w:b/>
                <w:bCs/>
                <w:color w:val="000000"/>
                <w:sz w:val="18"/>
                <w:szCs w:val="18"/>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D838B8">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综合实践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76AC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7F04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GJ220601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5C10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入学教育</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0CA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8EDE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5496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C571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13F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3914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75BC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1周</w:t>
            </w: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7ED4">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1497A">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A84B">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5874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B130">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5D83">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C9478">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B8F54">
            <w:pPr>
              <w:jc w:val="center"/>
              <w:rPr>
                <w:rFonts w:ascii="宋体" w:hAnsi="宋体" w:eastAsia="宋体" w:cs="宋体"/>
                <w:color w:val="000000"/>
                <w:sz w:val="16"/>
                <w:szCs w:val="16"/>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1774E">
            <w:pPr>
              <w:jc w:val="center"/>
              <w:rPr>
                <w:rFonts w:ascii="宋体" w:hAnsi="宋体" w:eastAsia="宋体" w:cs="宋体"/>
                <w:color w:val="000000"/>
                <w:sz w:val="16"/>
                <w:szCs w:val="16"/>
              </w:rPr>
            </w:pPr>
          </w:p>
        </w:tc>
      </w:tr>
      <w:tr w14:paraId="466F7BC1">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CD5E7">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3EBC7E">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4086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61DA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31F1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毕业教育</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FEF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2431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D390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CACA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0B0A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2171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D5F1E">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F7BC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9724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7720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82096">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E2C8F">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9ED00">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E93F6">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1896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BB3B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1周</w:t>
            </w:r>
          </w:p>
        </w:tc>
      </w:tr>
      <w:tr w14:paraId="58C2263D">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1B824">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B6CA26">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119BD">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AEE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GJ220603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81B1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岗位实习（1）</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97A2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F94B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EC50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AEC9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200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6D84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8C51C">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200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AD0A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4BA5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2482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D9B4C">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E5D88">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B7B92">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85B79">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EE82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06A25">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10周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BCC61">
            <w:pPr>
              <w:jc w:val="center"/>
              <w:rPr>
                <w:rFonts w:ascii="宋体" w:hAnsi="宋体" w:eastAsia="宋体" w:cs="宋体"/>
                <w:color w:val="000000"/>
                <w:sz w:val="16"/>
                <w:szCs w:val="16"/>
              </w:rPr>
            </w:pPr>
          </w:p>
        </w:tc>
      </w:tr>
      <w:tr w14:paraId="6A92D862">
        <w:tblPrEx>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DAF5F">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C223E4F">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9047A">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E3D0">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GJ220604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63852">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岗位实习（2）</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E98B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482C4">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4ED5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319A7">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4A22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51BF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280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FA8B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B600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BFD8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8B9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ADE6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DD5CC">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DAFD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EBF8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79D7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0F9C9">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14周</w:t>
            </w:r>
          </w:p>
        </w:tc>
      </w:tr>
      <w:tr w14:paraId="21274B98">
        <w:tblPrEx>
          <w:tblCellMar>
            <w:top w:w="0" w:type="dxa"/>
            <w:left w:w="108" w:type="dxa"/>
            <w:bottom w:w="0" w:type="dxa"/>
            <w:right w:w="108" w:type="dxa"/>
          </w:tblCellMar>
        </w:tblPrEx>
        <w:trPr>
          <w:trHeight w:val="28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F1C86">
            <w:pPr>
              <w:jc w:val="center"/>
              <w:rPr>
                <w:rFonts w:ascii="宋体" w:hAnsi="宋体" w:eastAsia="宋体" w:cs="宋体"/>
                <w:b/>
                <w:bCs/>
                <w:color w:val="000000"/>
                <w:sz w:val="18"/>
                <w:szCs w:val="18"/>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30DE893">
            <w:pPr>
              <w:jc w:val="center"/>
              <w:rPr>
                <w:rFonts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9D91">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71736">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GJ220605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7602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毕业设计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C941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91BAB">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EE63F">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B2CC8">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B013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24843">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AC8B4">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C883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98F9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BADD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A1B58">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E639D">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EF1B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5E20D">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A2DC0">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E834E">
            <w:pPr>
              <w:widowControl/>
              <w:jc w:val="center"/>
              <w:textAlignment w:val="center"/>
              <w:rPr>
                <w:rFonts w:ascii="宋体" w:hAnsi="宋体" w:eastAsia="宋体" w:cs="宋体"/>
                <w:color w:val="000000"/>
                <w:sz w:val="16"/>
                <w:szCs w:val="16"/>
              </w:rPr>
            </w:pPr>
            <w:r>
              <w:rPr>
                <w:rFonts w:hint="eastAsia" w:ascii="宋体" w:hAnsi="宋体" w:eastAsia="宋体" w:cs="宋体"/>
                <w:color w:val="000000"/>
                <w:kern w:val="0"/>
                <w:sz w:val="16"/>
                <w:szCs w:val="16"/>
                <w:lang w:bidi="ar"/>
              </w:rPr>
              <w:t>4周</w:t>
            </w:r>
          </w:p>
        </w:tc>
      </w:tr>
      <w:tr w14:paraId="3CA371E6">
        <w:tblPrEx>
          <w:tblCellMar>
            <w:top w:w="0" w:type="dxa"/>
            <w:left w:w="108" w:type="dxa"/>
            <w:bottom w:w="0" w:type="dxa"/>
            <w:right w:w="108" w:type="dxa"/>
          </w:tblCellMar>
        </w:tblPrEx>
        <w:trPr>
          <w:trHeight w:val="3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24127B">
            <w:pPr>
              <w:rPr>
                <w:rFonts w:ascii="宋体" w:hAnsi="宋体" w:eastAsia="宋体" w:cs="宋体"/>
                <w:color w:val="000000"/>
                <w:sz w:val="24"/>
                <w:szCs w:val="24"/>
              </w:rPr>
            </w:pPr>
          </w:p>
        </w:tc>
        <w:tc>
          <w:tcPr>
            <w:tcW w:w="52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6FE64B4">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47FD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E52FD">
            <w:pPr>
              <w:jc w:val="left"/>
              <w:rPr>
                <w:rFonts w:ascii="宋体" w:hAnsi="宋体" w:eastAsia="宋体" w:cs="宋体"/>
                <w:color w:val="000000"/>
                <w:sz w:val="16"/>
                <w:szCs w:val="16"/>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FFDC">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30</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C17E6">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592</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5D998">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1B91C">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592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9BE5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538E0">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DFB40">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25815">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30A7F">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7A729">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7E0E2">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6CAFF">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3ED2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38758">
            <w:pPr>
              <w:jc w:val="center"/>
              <w:rPr>
                <w:rFonts w:ascii="宋体" w:hAnsi="宋体" w:eastAsia="宋体" w:cs="宋体"/>
                <w:color w:val="000000"/>
                <w:sz w:val="16"/>
                <w:szCs w:val="16"/>
              </w:rPr>
            </w:pPr>
          </w:p>
        </w:tc>
      </w:tr>
      <w:tr w14:paraId="704D4EFF">
        <w:tblPrEx>
          <w:tblCellMar>
            <w:top w:w="0" w:type="dxa"/>
            <w:left w:w="108" w:type="dxa"/>
            <w:bottom w:w="0" w:type="dxa"/>
            <w:right w:w="108" w:type="dxa"/>
          </w:tblCellMar>
        </w:tblPrEx>
        <w:trPr>
          <w:trHeight w:val="320" w:hRule="atLeast"/>
        </w:trPr>
        <w:tc>
          <w:tcPr>
            <w:tcW w:w="567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A50B52">
            <w:pPr>
              <w:widowControl/>
              <w:jc w:val="center"/>
              <w:textAlignment w:val="center"/>
              <w:rPr>
                <w:rFonts w:ascii="宋体" w:hAnsi="宋体" w:eastAsia="宋体" w:cs="宋体"/>
                <w:b/>
                <w:bCs/>
                <w:color w:val="000000"/>
                <w:sz w:val="16"/>
                <w:szCs w:val="16"/>
              </w:rPr>
            </w:pPr>
            <w:r>
              <w:rPr>
                <w:rFonts w:hint="eastAsia" w:ascii="宋体" w:hAnsi="宋体" w:eastAsia="宋体" w:cs="宋体"/>
                <w:b/>
                <w:bCs/>
                <w:color w:val="000000"/>
                <w:kern w:val="0"/>
                <w:sz w:val="16"/>
                <w:szCs w:val="16"/>
                <w:lang w:bidi="ar"/>
              </w:rPr>
              <w:t>合计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99AA0">
            <w:pPr>
              <w:jc w:val="center"/>
              <w:rPr>
                <w:rFonts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84CF2">
            <w:pPr>
              <w:jc w:val="center"/>
              <w:rPr>
                <w:rFonts w:ascii="宋体" w:hAnsi="宋体" w:eastAsia="宋体" w:cs="宋体"/>
                <w:color w:val="000000"/>
                <w:sz w:val="16"/>
                <w:szCs w:val="16"/>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2D188">
            <w:pPr>
              <w:widowControl/>
              <w:jc w:val="center"/>
              <w:textAlignment w:val="center"/>
              <w:rPr>
                <w:rFonts w:hint="eastAsia" w:ascii="宋体" w:hAnsi="宋体" w:eastAsia="宋体" w:cs="宋体"/>
                <w:b/>
                <w:bCs/>
                <w:color w:val="000000"/>
                <w:sz w:val="16"/>
                <w:szCs w:val="16"/>
                <w:lang w:val="en-US" w:eastAsia="zh-CN"/>
              </w:rPr>
            </w:pPr>
            <w:r>
              <w:rPr>
                <w:rFonts w:hint="eastAsia" w:ascii="宋体" w:hAnsi="宋体" w:eastAsia="宋体" w:cs="宋体"/>
                <w:b/>
                <w:bCs/>
                <w:color w:val="auto"/>
                <w:kern w:val="0"/>
                <w:sz w:val="16"/>
                <w:szCs w:val="16"/>
                <w:lang w:bidi="ar"/>
              </w:rPr>
              <w:t>26</w:t>
            </w:r>
            <w:r>
              <w:rPr>
                <w:rFonts w:hint="eastAsia" w:ascii="宋体" w:hAnsi="宋体" w:eastAsia="宋体" w:cs="宋体"/>
                <w:b/>
                <w:bCs/>
                <w:color w:val="auto"/>
                <w:kern w:val="0"/>
                <w:sz w:val="16"/>
                <w:szCs w:val="16"/>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B3E16">
            <w:pPr>
              <w:widowControl/>
              <w:jc w:val="center"/>
              <w:textAlignment w:val="center"/>
              <w:rPr>
                <w:rFonts w:hint="default" w:ascii="宋体" w:hAnsi="宋体" w:eastAsia="宋体" w:cs="宋体"/>
                <w:b/>
                <w:bCs/>
                <w:color w:val="000000"/>
                <w:sz w:val="16"/>
                <w:szCs w:val="16"/>
                <w:lang w:val="en-US" w:eastAsia="zh-CN"/>
              </w:rPr>
            </w:pPr>
            <w:r>
              <w:rPr>
                <w:rFonts w:hint="eastAsia" w:ascii="宋体" w:hAnsi="宋体" w:eastAsia="宋体" w:cs="宋体"/>
                <w:b/>
                <w:bCs/>
                <w:color w:val="000000"/>
                <w:kern w:val="0"/>
                <w:sz w:val="16"/>
                <w:szCs w:val="16"/>
                <w:lang w:bidi="ar"/>
              </w:rPr>
              <w:t>4</w:t>
            </w:r>
            <w:r>
              <w:rPr>
                <w:rFonts w:hint="eastAsia" w:ascii="宋体" w:hAnsi="宋体" w:eastAsia="宋体" w:cs="宋体"/>
                <w:b/>
                <w:bCs/>
                <w:color w:val="000000"/>
                <w:kern w:val="0"/>
                <w:sz w:val="16"/>
                <w:szCs w:val="16"/>
                <w:lang w:val="en-US" w:eastAsia="zh-CN" w:bidi="ar"/>
              </w:rPr>
              <w:t>614</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470A6">
            <w:pPr>
              <w:widowControl/>
              <w:jc w:val="center"/>
              <w:textAlignment w:val="center"/>
              <w:rPr>
                <w:rFonts w:hint="default" w:ascii="宋体" w:hAnsi="宋体" w:eastAsia="宋体" w:cs="宋体"/>
                <w:b/>
                <w:bCs/>
                <w:color w:val="000000"/>
                <w:sz w:val="16"/>
                <w:szCs w:val="16"/>
                <w:lang w:val="en-US" w:eastAsia="zh-CN"/>
              </w:rPr>
            </w:pPr>
            <w:r>
              <w:rPr>
                <w:rFonts w:hint="eastAsia" w:ascii="宋体" w:hAnsi="宋体" w:eastAsia="宋体" w:cs="宋体"/>
                <w:b/>
                <w:bCs/>
                <w:color w:val="000000"/>
                <w:sz w:val="16"/>
                <w:szCs w:val="16"/>
                <w:lang w:val="en-US" w:eastAsia="zh-CN"/>
              </w:rPr>
              <w:t>2230</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7497B">
            <w:pPr>
              <w:widowControl/>
              <w:jc w:val="center"/>
              <w:textAlignment w:val="center"/>
              <w:rPr>
                <w:rFonts w:hint="default" w:ascii="宋体" w:hAnsi="宋体" w:eastAsia="宋体" w:cs="宋体"/>
                <w:b/>
                <w:bCs/>
                <w:color w:val="000000"/>
                <w:sz w:val="16"/>
                <w:szCs w:val="16"/>
                <w:lang w:val="en-US" w:eastAsia="zh-CN"/>
              </w:rPr>
            </w:pPr>
            <w:r>
              <w:rPr>
                <w:rFonts w:hint="eastAsia" w:ascii="宋体" w:hAnsi="宋体" w:eastAsia="宋体" w:cs="宋体"/>
                <w:b/>
                <w:bCs/>
                <w:color w:val="000000"/>
                <w:kern w:val="0"/>
                <w:sz w:val="16"/>
                <w:szCs w:val="16"/>
                <w:lang w:bidi="ar"/>
              </w:rPr>
              <w:t>2</w:t>
            </w:r>
            <w:r>
              <w:rPr>
                <w:rFonts w:hint="eastAsia" w:ascii="宋体" w:hAnsi="宋体" w:eastAsia="宋体" w:cs="宋体"/>
                <w:b/>
                <w:bCs/>
                <w:color w:val="000000"/>
                <w:kern w:val="0"/>
                <w:sz w:val="16"/>
                <w:szCs w:val="16"/>
                <w:lang w:val="en-US" w:eastAsia="zh-CN" w:bidi="ar"/>
              </w:rPr>
              <w:t>384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9A89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8ADC1">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D09DB">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BFC7A">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0B081">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26DD8">
            <w:pPr>
              <w:jc w:val="center"/>
              <w:rPr>
                <w:rFonts w:ascii="宋体" w:hAnsi="宋体" w:eastAsia="宋体" w:cs="宋体"/>
                <w:color w:val="000000"/>
                <w:sz w:val="16"/>
                <w:szCs w:val="16"/>
              </w:rPr>
            </w:pPr>
          </w:p>
        </w:tc>
        <w:tc>
          <w:tcPr>
            <w:tcW w:w="4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57063">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FB027">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29CB8">
            <w:pPr>
              <w:jc w:val="center"/>
              <w:rPr>
                <w:rFonts w:ascii="宋体" w:hAnsi="宋体" w:eastAsia="宋体" w:cs="宋体"/>
                <w:color w:val="000000"/>
                <w:sz w:val="16"/>
                <w:szCs w:val="16"/>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7795E">
            <w:pPr>
              <w:jc w:val="center"/>
              <w:rPr>
                <w:rFonts w:ascii="宋体" w:hAnsi="宋体" w:eastAsia="宋体" w:cs="宋体"/>
                <w:color w:val="000000"/>
                <w:sz w:val="16"/>
                <w:szCs w:val="16"/>
              </w:rPr>
            </w:pPr>
          </w:p>
        </w:tc>
      </w:tr>
    </w:tbl>
    <w:p w14:paraId="0BBFB211">
      <w:pPr>
        <w:ind w:firstLine="643" w:firstLineChars="200"/>
        <w:rPr>
          <w:rFonts w:ascii="楷体_GB2312" w:hAnsi="楷体_GB2312" w:eastAsia="楷体_GB2312" w:cs="楷体_GB2312"/>
          <w:b/>
          <w:bCs/>
        </w:rPr>
        <w:sectPr>
          <w:pgSz w:w="16838" w:h="11906" w:orient="landscape"/>
          <w:pgMar w:top="1800" w:right="1440" w:bottom="1800" w:left="1440" w:header="851" w:footer="992" w:gutter="0"/>
          <w:cols w:space="425" w:num="1"/>
          <w:docGrid w:type="lines" w:linePitch="312" w:charSpace="0"/>
        </w:sectPr>
      </w:pPr>
    </w:p>
    <w:p w14:paraId="42CE894C">
      <w:pPr>
        <w:overflowPunct w:val="0"/>
        <w:adjustRightInd w:val="0"/>
        <w:ind w:firstLine="640" w:firstLineChars="200"/>
        <w:jc w:val="left"/>
        <w:rPr>
          <w:rFonts w:hint="eastAsia" w:ascii="仿宋" w:hAnsi="仿宋" w:eastAsia="仿宋" w:cs="仿宋"/>
        </w:rPr>
      </w:pPr>
      <w:r>
        <w:rPr>
          <w:rFonts w:hint="eastAsia" w:ascii="仿宋" w:hAnsi="仿宋" w:eastAsia="仿宋" w:cs="仿宋"/>
        </w:rPr>
        <w:t>（二）各类课程学时分配</w:t>
      </w:r>
    </w:p>
    <w:p w14:paraId="74139CCC">
      <w:pPr>
        <w:overflowPunct w:val="0"/>
        <w:adjustRightInd w:val="0"/>
        <w:jc w:val="center"/>
        <w:rPr>
          <w:rFonts w:hint="eastAsia" w:ascii="仿宋" w:hAnsi="仿宋" w:eastAsia="仿宋" w:cs="仿宋"/>
          <w:sz w:val="28"/>
          <w:szCs w:val="21"/>
        </w:rPr>
      </w:pPr>
      <w:r>
        <w:rPr>
          <w:rFonts w:hint="eastAsia" w:ascii="仿宋" w:hAnsi="仿宋" w:eastAsia="仿宋" w:cs="仿宋"/>
          <w:sz w:val="28"/>
          <w:szCs w:val="21"/>
        </w:rPr>
        <w:t>表</w:t>
      </w:r>
      <w:r>
        <w:rPr>
          <w:rFonts w:hint="eastAsia" w:ascii="仿宋" w:hAnsi="仿宋" w:eastAsia="仿宋" w:cs="仿宋"/>
          <w:sz w:val="28"/>
          <w:szCs w:val="21"/>
          <w:lang w:val="en-US" w:eastAsia="zh-CN"/>
        </w:rPr>
        <w:t>4</w:t>
      </w:r>
      <w:r>
        <w:rPr>
          <w:rFonts w:hint="eastAsia" w:ascii="仿宋" w:hAnsi="仿宋" w:eastAsia="仿宋" w:cs="仿宋"/>
          <w:sz w:val="28"/>
          <w:szCs w:val="21"/>
        </w:rPr>
        <w:t>婴幼儿托幼服务与管理专业理论教学与实践教学学时比例表</w:t>
      </w:r>
    </w:p>
    <w:tbl>
      <w:tblPr>
        <w:tblStyle w:val="13"/>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6"/>
        <w:gridCol w:w="1396"/>
        <w:gridCol w:w="2593"/>
        <w:gridCol w:w="1581"/>
      </w:tblGrid>
      <w:tr w14:paraId="0FD6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tcBorders>
              <w:top w:val="single" w:color="auto" w:sz="4" w:space="0"/>
              <w:left w:val="single" w:color="auto" w:sz="4" w:space="0"/>
              <w:bottom w:val="single" w:color="auto" w:sz="4" w:space="0"/>
              <w:right w:val="single" w:color="auto" w:sz="4" w:space="0"/>
            </w:tcBorders>
            <w:vAlign w:val="center"/>
          </w:tcPr>
          <w:p w14:paraId="317F8F82">
            <w:pPr>
              <w:overflowPunct w:val="0"/>
              <w:adjustRightInd w:val="0"/>
              <w:jc w:val="left"/>
              <w:rPr>
                <w:rFonts w:hint="eastAsia" w:ascii="仿宋" w:hAnsi="仿宋" w:eastAsia="仿宋" w:cs="仿宋"/>
              </w:rPr>
            </w:pPr>
            <w:r>
              <w:rPr>
                <w:rFonts w:hint="eastAsia" w:ascii="仿宋" w:hAnsi="仿宋" w:eastAsia="仿宋" w:cs="仿宋"/>
              </w:rPr>
              <w:t>项目</w:t>
            </w:r>
          </w:p>
        </w:tc>
        <w:tc>
          <w:tcPr>
            <w:tcW w:w="1395" w:type="dxa"/>
            <w:tcBorders>
              <w:top w:val="single" w:color="auto" w:sz="4" w:space="0"/>
              <w:left w:val="single" w:color="auto" w:sz="4" w:space="0"/>
              <w:bottom w:val="single" w:color="auto" w:sz="4" w:space="0"/>
              <w:right w:val="single" w:color="auto" w:sz="4" w:space="0"/>
            </w:tcBorders>
            <w:vAlign w:val="center"/>
          </w:tcPr>
          <w:p w14:paraId="2B878E76">
            <w:pPr>
              <w:overflowPunct w:val="0"/>
              <w:adjustRightInd w:val="0"/>
              <w:jc w:val="left"/>
              <w:rPr>
                <w:rFonts w:hint="eastAsia" w:ascii="仿宋" w:hAnsi="仿宋" w:eastAsia="仿宋" w:cs="仿宋"/>
              </w:rPr>
            </w:pPr>
            <w:r>
              <w:rPr>
                <w:rFonts w:hint="eastAsia" w:ascii="仿宋" w:hAnsi="仿宋" w:eastAsia="仿宋" w:cs="仿宋"/>
              </w:rPr>
              <w:t>学时数</w:t>
            </w:r>
          </w:p>
        </w:tc>
        <w:tc>
          <w:tcPr>
            <w:tcW w:w="2591" w:type="dxa"/>
            <w:tcBorders>
              <w:top w:val="single" w:color="auto" w:sz="4" w:space="0"/>
              <w:left w:val="single" w:color="auto" w:sz="4" w:space="0"/>
              <w:bottom w:val="single" w:color="auto" w:sz="4" w:space="0"/>
              <w:right w:val="single" w:color="auto" w:sz="4" w:space="0"/>
            </w:tcBorders>
            <w:vAlign w:val="center"/>
          </w:tcPr>
          <w:p w14:paraId="07AC78DB">
            <w:pPr>
              <w:overflowPunct w:val="0"/>
              <w:adjustRightInd w:val="0"/>
              <w:jc w:val="left"/>
              <w:rPr>
                <w:rFonts w:hint="eastAsia" w:ascii="仿宋" w:hAnsi="仿宋" w:eastAsia="仿宋" w:cs="仿宋"/>
              </w:rPr>
            </w:pPr>
            <w:r>
              <w:rPr>
                <w:rFonts w:hint="eastAsia" w:ascii="仿宋" w:hAnsi="仿宋" w:eastAsia="仿宋" w:cs="仿宋"/>
              </w:rPr>
              <w:t>占总学时的比例</w:t>
            </w:r>
          </w:p>
        </w:tc>
        <w:tc>
          <w:tcPr>
            <w:tcW w:w="1580" w:type="dxa"/>
            <w:tcBorders>
              <w:top w:val="single" w:color="auto" w:sz="4" w:space="0"/>
              <w:left w:val="single" w:color="auto" w:sz="4" w:space="0"/>
              <w:bottom w:val="single" w:color="auto" w:sz="4" w:space="0"/>
              <w:right w:val="single" w:color="auto" w:sz="4" w:space="0"/>
            </w:tcBorders>
            <w:vAlign w:val="center"/>
          </w:tcPr>
          <w:p w14:paraId="61E344D9">
            <w:pPr>
              <w:overflowPunct w:val="0"/>
              <w:adjustRightInd w:val="0"/>
              <w:jc w:val="left"/>
              <w:rPr>
                <w:rFonts w:hint="eastAsia" w:ascii="仿宋" w:hAnsi="仿宋" w:eastAsia="仿宋" w:cs="仿宋"/>
              </w:rPr>
            </w:pPr>
            <w:r>
              <w:rPr>
                <w:rFonts w:hint="eastAsia" w:ascii="仿宋" w:hAnsi="仿宋" w:eastAsia="仿宋" w:cs="仿宋"/>
              </w:rPr>
              <w:t>备注</w:t>
            </w:r>
          </w:p>
        </w:tc>
      </w:tr>
      <w:tr w14:paraId="27DE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tcBorders>
              <w:top w:val="single" w:color="auto" w:sz="4" w:space="0"/>
              <w:left w:val="single" w:color="auto" w:sz="4" w:space="0"/>
              <w:bottom w:val="single" w:color="auto" w:sz="4" w:space="0"/>
              <w:right w:val="single" w:color="auto" w:sz="4" w:space="0"/>
            </w:tcBorders>
            <w:vAlign w:val="center"/>
          </w:tcPr>
          <w:p w14:paraId="2714E33B">
            <w:pPr>
              <w:overflowPunct w:val="0"/>
              <w:adjustRightInd w:val="0"/>
              <w:jc w:val="left"/>
              <w:rPr>
                <w:rFonts w:hint="eastAsia" w:ascii="仿宋" w:hAnsi="仿宋" w:eastAsia="仿宋" w:cs="仿宋"/>
              </w:rPr>
            </w:pPr>
            <w:r>
              <w:rPr>
                <w:rFonts w:hint="eastAsia" w:ascii="仿宋" w:hAnsi="仿宋" w:eastAsia="仿宋" w:cs="仿宋"/>
              </w:rPr>
              <w:t>理论教学时数</w:t>
            </w:r>
          </w:p>
        </w:tc>
        <w:tc>
          <w:tcPr>
            <w:tcW w:w="1395" w:type="dxa"/>
            <w:tcBorders>
              <w:top w:val="single" w:color="auto" w:sz="4" w:space="0"/>
              <w:left w:val="single" w:color="auto" w:sz="4" w:space="0"/>
              <w:bottom w:val="single" w:color="auto" w:sz="4" w:space="0"/>
              <w:right w:val="single" w:color="auto" w:sz="4" w:space="0"/>
            </w:tcBorders>
            <w:vAlign w:val="center"/>
          </w:tcPr>
          <w:p w14:paraId="6BF15F3A">
            <w:pPr>
              <w:overflowPunct w:val="0"/>
              <w:adjustRightInd w:val="0"/>
              <w:jc w:val="left"/>
              <w:rPr>
                <w:rFonts w:hint="default" w:ascii="仿宋" w:hAnsi="仿宋" w:eastAsia="仿宋" w:cs="仿宋"/>
                <w:lang w:val="en-US" w:eastAsia="zh-CN"/>
              </w:rPr>
            </w:pPr>
            <w:r>
              <w:rPr>
                <w:rFonts w:hint="eastAsia" w:ascii="仿宋" w:hAnsi="仿宋" w:eastAsia="仿宋" w:cs="仿宋"/>
              </w:rPr>
              <w:t>2</w:t>
            </w:r>
            <w:r>
              <w:rPr>
                <w:rFonts w:hint="eastAsia" w:ascii="仿宋" w:hAnsi="仿宋" w:eastAsia="仿宋" w:cs="仿宋"/>
                <w:lang w:val="en-US" w:eastAsia="zh-CN"/>
              </w:rPr>
              <w:t>230</w:t>
            </w:r>
          </w:p>
        </w:tc>
        <w:tc>
          <w:tcPr>
            <w:tcW w:w="2591" w:type="dxa"/>
            <w:tcBorders>
              <w:top w:val="single" w:color="auto" w:sz="4" w:space="0"/>
              <w:left w:val="single" w:color="auto" w:sz="4" w:space="0"/>
              <w:bottom w:val="single" w:color="auto" w:sz="4" w:space="0"/>
              <w:right w:val="single" w:color="auto" w:sz="4" w:space="0"/>
            </w:tcBorders>
            <w:vAlign w:val="center"/>
          </w:tcPr>
          <w:p w14:paraId="22346CEF">
            <w:pPr>
              <w:overflowPunct w:val="0"/>
              <w:adjustRightInd w:val="0"/>
              <w:jc w:val="left"/>
              <w:rPr>
                <w:rFonts w:hint="eastAsia" w:ascii="仿宋" w:hAnsi="仿宋" w:eastAsia="仿宋" w:cs="仿宋"/>
              </w:rPr>
            </w:pPr>
            <w:r>
              <w:rPr>
                <w:rFonts w:hint="eastAsia" w:ascii="仿宋" w:hAnsi="仿宋" w:eastAsia="仿宋" w:cs="仿宋"/>
              </w:rPr>
              <w:t>4</w:t>
            </w:r>
            <w:r>
              <w:rPr>
                <w:rFonts w:hint="eastAsia" w:ascii="仿宋" w:hAnsi="仿宋" w:eastAsia="仿宋" w:cs="仿宋"/>
                <w:lang w:val="en-US" w:eastAsia="zh-CN"/>
              </w:rPr>
              <w:t>8.33</w:t>
            </w:r>
            <w:r>
              <w:rPr>
                <w:rFonts w:hint="eastAsia" w:ascii="仿宋" w:hAnsi="仿宋" w:eastAsia="仿宋" w:cs="仿宋"/>
              </w:rPr>
              <w:t>%</w:t>
            </w:r>
          </w:p>
        </w:tc>
        <w:tc>
          <w:tcPr>
            <w:tcW w:w="1580" w:type="dxa"/>
            <w:tcBorders>
              <w:top w:val="single" w:color="auto" w:sz="4" w:space="0"/>
              <w:left w:val="single" w:color="auto" w:sz="4" w:space="0"/>
              <w:bottom w:val="single" w:color="auto" w:sz="4" w:space="0"/>
              <w:right w:val="single" w:color="auto" w:sz="4" w:space="0"/>
            </w:tcBorders>
            <w:vAlign w:val="center"/>
          </w:tcPr>
          <w:p w14:paraId="2004203B">
            <w:pPr>
              <w:overflowPunct w:val="0"/>
              <w:adjustRightInd w:val="0"/>
              <w:jc w:val="left"/>
              <w:rPr>
                <w:rFonts w:hint="eastAsia" w:ascii="仿宋" w:hAnsi="仿宋" w:eastAsia="仿宋" w:cs="仿宋"/>
              </w:rPr>
            </w:pPr>
          </w:p>
        </w:tc>
      </w:tr>
      <w:tr w14:paraId="16852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tcBorders>
              <w:top w:val="single" w:color="auto" w:sz="4" w:space="0"/>
              <w:left w:val="single" w:color="auto" w:sz="4" w:space="0"/>
              <w:bottom w:val="single" w:color="auto" w:sz="4" w:space="0"/>
              <w:right w:val="single" w:color="auto" w:sz="4" w:space="0"/>
            </w:tcBorders>
            <w:vAlign w:val="center"/>
          </w:tcPr>
          <w:p w14:paraId="006BD55C">
            <w:pPr>
              <w:overflowPunct w:val="0"/>
              <w:adjustRightInd w:val="0"/>
              <w:jc w:val="left"/>
              <w:rPr>
                <w:rFonts w:hint="eastAsia" w:ascii="仿宋" w:hAnsi="仿宋" w:eastAsia="仿宋" w:cs="仿宋"/>
              </w:rPr>
            </w:pPr>
            <w:r>
              <w:rPr>
                <w:rFonts w:hint="eastAsia" w:ascii="仿宋" w:hAnsi="仿宋" w:eastAsia="仿宋" w:cs="仿宋"/>
              </w:rPr>
              <w:t>实践教学时数</w:t>
            </w:r>
          </w:p>
        </w:tc>
        <w:tc>
          <w:tcPr>
            <w:tcW w:w="2874" w:type="dxa"/>
            <w:tcBorders>
              <w:top w:val="single" w:color="auto" w:sz="4" w:space="0"/>
              <w:left w:val="single" w:color="auto" w:sz="4" w:space="0"/>
              <w:bottom w:val="single" w:color="auto" w:sz="4" w:space="0"/>
              <w:right w:val="single" w:color="auto" w:sz="4" w:space="0"/>
            </w:tcBorders>
            <w:vAlign w:val="center"/>
          </w:tcPr>
          <w:p w14:paraId="7E34F5DD">
            <w:pPr>
              <w:overflowPunct w:val="0"/>
              <w:adjustRightInd w:val="0"/>
              <w:jc w:val="left"/>
              <w:rPr>
                <w:rFonts w:hint="eastAsia" w:ascii="仿宋" w:hAnsi="仿宋" w:eastAsia="仿宋" w:cs="仿宋"/>
              </w:rPr>
            </w:pPr>
            <w:r>
              <w:rPr>
                <w:rFonts w:hint="eastAsia" w:ascii="仿宋" w:hAnsi="仿宋" w:eastAsia="仿宋" w:cs="仿宋"/>
              </w:rPr>
              <w:t>校内实践教学时数</w:t>
            </w:r>
          </w:p>
        </w:tc>
        <w:tc>
          <w:tcPr>
            <w:tcW w:w="1395" w:type="dxa"/>
            <w:tcBorders>
              <w:top w:val="single" w:color="auto" w:sz="4" w:space="0"/>
              <w:left w:val="single" w:color="auto" w:sz="4" w:space="0"/>
              <w:bottom w:val="single" w:color="auto" w:sz="4" w:space="0"/>
              <w:right w:val="single" w:color="auto" w:sz="4" w:space="0"/>
            </w:tcBorders>
            <w:vAlign w:val="center"/>
          </w:tcPr>
          <w:p w14:paraId="226F5526">
            <w:pPr>
              <w:overflowPunct w:val="0"/>
              <w:adjustRightInd w:val="0"/>
              <w:jc w:val="left"/>
              <w:rPr>
                <w:rFonts w:hint="default" w:ascii="仿宋" w:hAnsi="仿宋" w:eastAsia="仿宋" w:cs="仿宋"/>
                <w:lang w:val="en-US" w:eastAsia="zh-CN"/>
              </w:rPr>
            </w:pPr>
            <w:r>
              <w:rPr>
                <w:rFonts w:hint="eastAsia" w:ascii="仿宋" w:hAnsi="仿宋" w:eastAsia="仿宋" w:cs="仿宋"/>
              </w:rPr>
              <w:t>17</w:t>
            </w:r>
            <w:r>
              <w:rPr>
                <w:rFonts w:hint="eastAsia" w:ascii="仿宋" w:hAnsi="仿宋" w:eastAsia="仿宋" w:cs="仿宋"/>
                <w:lang w:val="en-US" w:eastAsia="zh-CN"/>
              </w:rPr>
              <w:t>92</w:t>
            </w:r>
          </w:p>
        </w:tc>
        <w:tc>
          <w:tcPr>
            <w:tcW w:w="2591" w:type="dxa"/>
            <w:vMerge w:val="restart"/>
            <w:tcBorders>
              <w:top w:val="single" w:color="auto" w:sz="4" w:space="0"/>
              <w:left w:val="single" w:color="auto" w:sz="4" w:space="0"/>
              <w:bottom w:val="single" w:color="auto" w:sz="4" w:space="0"/>
              <w:right w:val="single" w:color="auto" w:sz="4" w:space="0"/>
            </w:tcBorders>
            <w:vAlign w:val="center"/>
          </w:tcPr>
          <w:p w14:paraId="025AEC1C">
            <w:pPr>
              <w:overflowPunct w:val="0"/>
              <w:adjustRightInd w:val="0"/>
              <w:jc w:val="left"/>
              <w:rPr>
                <w:rFonts w:hint="eastAsia" w:ascii="仿宋" w:hAnsi="仿宋" w:eastAsia="仿宋" w:cs="仿宋"/>
              </w:rPr>
            </w:pPr>
            <w:r>
              <w:rPr>
                <w:rFonts w:hint="eastAsia" w:ascii="仿宋" w:hAnsi="仿宋" w:eastAsia="仿宋" w:cs="仿宋"/>
              </w:rPr>
              <w:t>5</w:t>
            </w:r>
            <w:r>
              <w:rPr>
                <w:rFonts w:hint="eastAsia" w:ascii="仿宋" w:hAnsi="仿宋" w:eastAsia="仿宋" w:cs="仿宋"/>
                <w:lang w:val="en-US" w:eastAsia="zh-CN"/>
              </w:rPr>
              <w:t>1</w:t>
            </w:r>
            <w:r>
              <w:rPr>
                <w:rFonts w:hint="eastAsia" w:ascii="仿宋" w:hAnsi="仿宋" w:eastAsia="仿宋" w:cs="仿宋"/>
              </w:rPr>
              <w:t>.</w:t>
            </w:r>
            <w:r>
              <w:rPr>
                <w:rFonts w:hint="eastAsia" w:ascii="仿宋" w:hAnsi="仿宋" w:eastAsia="仿宋" w:cs="仿宋"/>
                <w:lang w:val="en-US" w:eastAsia="zh-CN"/>
              </w:rPr>
              <w:t>67</w:t>
            </w:r>
            <w:r>
              <w:rPr>
                <w:rFonts w:hint="eastAsia" w:ascii="仿宋" w:hAnsi="仿宋" w:eastAsia="仿宋" w:cs="仿宋"/>
              </w:rPr>
              <w:t>%</w:t>
            </w:r>
          </w:p>
        </w:tc>
        <w:tc>
          <w:tcPr>
            <w:tcW w:w="1580" w:type="dxa"/>
            <w:vMerge w:val="restart"/>
            <w:tcBorders>
              <w:top w:val="single" w:color="auto" w:sz="4" w:space="0"/>
              <w:left w:val="single" w:color="auto" w:sz="4" w:space="0"/>
              <w:bottom w:val="single" w:color="auto" w:sz="4" w:space="0"/>
              <w:right w:val="single" w:color="auto" w:sz="4" w:space="0"/>
            </w:tcBorders>
            <w:vAlign w:val="center"/>
          </w:tcPr>
          <w:p w14:paraId="691A6438">
            <w:pPr>
              <w:overflowPunct w:val="0"/>
              <w:adjustRightInd w:val="0"/>
              <w:jc w:val="left"/>
              <w:rPr>
                <w:rFonts w:hint="eastAsia" w:ascii="仿宋" w:hAnsi="仿宋" w:eastAsia="仿宋" w:cs="仿宋"/>
              </w:rPr>
            </w:pPr>
          </w:p>
        </w:tc>
      </w:tr>
      <w:tr w14:paraId="4793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vMerge w:val="continue"/>
            <w:tcBorders>
              <w:top w:val="single" w:color="auto" w:sz="4" w:space="0"/>
              <w:left w:val="single" w:color="auto" w:sz="4" w:space="0"/>
              <w:bottom w:val="single" w:color="auto" w:sz="4" w:space="0"/>
              <w:right w:val="single" w:color="auto" w:sz="4" w:space="0"/>
            </w:tcBorders>
            <w:vAlign w:val="center"/>
          </w:tcPr>
          <w:p w14:paraId="47FC3D40">
            <w:pPr>
              <w:overflowPunct w:val="0"/>
              <w:adjustRightInd w:val="0"/>
              <w:jc w:val="left"/>
              <w:rPr>
                <w:rFonts w:hint="eastAsia" w:ascii="仿宋" w:hAnsi="仿宋" w:eastAsia="仿宋" w:cs="仿宋"/>
              </w:rPr>
            </w:pPr>
          </w:p>
        </w:tc>
        <w:tc>
          <w:tcPr>
            <w:tcW w:w="2874" w:type="dxa"/>
            <w:tcBorders>
              <w:top w:val="single" w:color="auto" w:sz="4" w:space="0"/>
              <w:left w:val="single" w:color="auto" w:sz="4" w:space="0"/>
              <w:bottom w:val="single" w:color="auto" w:sz="4" w:space="0"/>
              <w:right w:val="single" w:color="auto" w:sz="4" w:space="0"/>
            </w:tcBorders>
            <w:vAlign w:val="center"/>
          </w:tcPr>
          <w:p w14:paraId="3998FABE">
            <w:pPr>
              <w:overflowPunct w:val="0"/>
              <w:adjustRightInd w:val="0"/>
              <w:jc w:val="left"/>
              <w:rPr>
                <w:rFonts w:hint="eastAsia" w:ascii="仿宋" w:hAnsi="仿宋" w:eastAsia="仿宋" w:cs="仿宋"/>
              </w:rPr>
            </w:pPr>
            <w:r>
              <w:rPr>
                <w:rFonts w:hint="eastAsia" w:ascii="仿宋" w:hAnsi="仿宋" w:eastAsia="仿宋" w:cs="仿宋"/>
              </w:rPr>
              <w:t>入学教育</w:t>
            </w:r>
          </w:p>
        </w:tc>
        <w:tc>
          <w:tcPr>
            <w:tcW w:w="1395" w:type="dxa"/>
            <w:tcBorders>
              <w:top w:val="single" w:color="auto" w:sz="4" w:space="0"/>
              <w:left w:val="single" w:color="auto" w:sz="4" w:space="0"/>
              <w:bottom w:val="single" w:color="auto" w:sz="4" w:space="0"/>
              <w:right w:val="single" w:color="auto" w:sz="4" w:space="0"/>
            </w:tcBorders>
            <w:vAlign w:val="center"/>
          </w:tcPr>
          <w:p w14:paraId="3DBCA095">
            <w:pPr>
              <w:overflowPunct w:val="0"/>
              <w:adjustRightInd w:val="0"/>
              <w:jc w:val="left"/>
              <w:rPr>
                <w:rFonts w:hint="eastAsia" w:ascii="仿宋" w:hAnsi="仿宋" w:eastAsia="仿宋" w:cs="仿宋"/>
              </w:rPr>
            </w:pPr>
            <w:r>
              <w:rPr>
                <w:rFonts w:hint="eastAsia" w:ascii="仿宋" w:hAnsi="仿宋" w:eastAsia="仿宋" w:cs="仿宋"/>
              </w:rPr>
              <w:t>16</w:t>
            </w:r>
          </w:p>
        </w:tc>
        <w:tc>
          <w:tcPr>
            <w:tcW w:w="2591" w:type="dxa"/>
            <w:vMerge w:val="continue"/>
            <w:tcBorders>
              <w:top w:val="single" w:color="auto" w:sz="4" w:space="0"/>
              <w:left w:val="single" w:color="auto" w:sz="4" w:space="0"/>
              <w:bottom w:val="single" w:color="auto" w:sz="4" w:space="0"/>
              <w:right w:val="single" w:color="auto" w:sz="4" w:space="0"/>
            </w:tcBorders>
            <w:vAlign w:val="center"/>
          </w:tcPr>
          <w:p w14:paraId="5A9B8220">
            <w:pPr>
              <w:overflowPunct w:val="0"/>
              <w:adjustRightInd w:val="0"/>
              <w:jc w:val="left"/>
              <w:rPr>
                <w:rFonts w:hint="eastAsia" w:ascii="仿宋" w:hAnsi="仿宋" w:eastAsia="仿宋" w:cs="仿宋"/>
              </w:rPr>
            </w:pPr>
          </w:p>
        </w:tc>
        <w:tc>
          <w:tcPr>
            <w:tcW w:w="1580" w:type="dxa"/>
            <w:vMerge w:val="continue"/>
            <w:tcBorders>
              <w:top w:val="single" w:color="auto" w:sz="4" w:space="0"/>
              <w:left w:val="single" w:color="auto" w:sz="4" w:space="0"/>
              <w:bottom w:val="single" w:color="auto" w:sz="4" w:space="0"/>
              <w:right w:val="single" w:color="auto" w:sz="4" w:space="0"/>
            </w:tcBorders>
            <w:vAlign w:val="center"/>
          </w:tcPr>
          <w:p w14:paraId="06B32F39">
            <w:pPr>
              <w:overflowPunct w:val="0"/>
              <w:adjustRightInd w:val="0"/>
              <w:jc w:val="left"/>
              <w:rPr>
                <w:rFonts w:hint="eastAsia" w:ascii="仿宋" w:hAnsi="仿宋" w:eastAsia="仿宋" w:cs="仿宋"/>
              </w:rPr>
            </w:pPr>
          </w:p>
        </w:tc>
      </w:tr>
      <w:tr w14:paraId="0574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vMerge w:val="continue"/>
            <w:tcBorders>
              <w:top w:val="single" w:color="auto" w:sz="4" w:space="0"/>
              <w:left w:val="single" w:color="auto" w:sz="4" w:space="0"/>
              <w:bottom w:val="single" w:color="auto" w:sz="4" w:space="0"/>
              <w:right w:val="single" w:color="auto" w:sz="4" w:space="0"/>
            </w:tcBorders>
            <w:vAlign w:val="center"/>
          </w:tcPr>
          <w:p w14:paraId="3F521312">
            <w:pPr>
              <w:overflowPunct w:val="0"/>
              <w:adjustRightInd w:val="0"/>
              <w:jc w:val="left"/>
              <w:rPr>
                <w:rFonts w:hint="eastAsia" w:ascii="仿宋" w:hAnsi="仿宋" w:eastAsia="仿宋" w:cs="仿宋"/>
              </w:rPr>
            </w:pPr>
          </w:p>
        </w:tc>
        <w:tc>
          <w:tcPr>
            <w:tcW w:w="2874" w:type="dxa"/>
            <w:tcBorders>
              <w:top w:val="single" w:color="auto" w:sz="4" w:space="0"/>
              <w:left w:val="single" w:color="auto" w:sz="4" w:space="0"/>
              <w:bottom w:val="single" w:color="auto" w:sz="4" w:space="0"/>
              <w:right w:val="single" w:color="auto" w:sz="4" w:space="0"/>
            </w:tcBorders>
            <w:vAlign w:val="center"/>
          </w:tcPr>
          <w:p w14:paraId="4E9A101B">
            <w:pPr>
              <w:overflowPunct w:val="0"/>
              <w:adjustRightInd w:val="0"/>
              <w:jc w:val="left"/>
              <w:rPr>
                <w:rFonts w:hint="eastAsia" w:ascii="仿宋" w:hAnsi="仿宋" w:eastAsia="仿宋" w:cs="仿宋"/>
              </w:rPr>
            </w:pPr>
            <w:r>
              <w:rPr>
                <w:rFonts w:hint="eastAsia" w:ascii="仿宋" w:hAnsi="仿宋" w:eastAsia="仿宋" w:cs="仿宋"/>
              </w:rPr>
              <w:t>毕业教育</w:t>
            </w:r>
          </w:p>
        </w:tc>
        <w:tc>
          <w:tcPr>
            <w:tcW w:w="1395" w:type="dxa"/>
            <w:tcBorders>
              <w:top w:val="single" w:color="auto" w:sz="4" w:space="0"/>
              <w:left w:val="single" w:color="auto" w:sz="4" w:space="0"/>
              <w:bottom w:val="single" w:color="auto" w:sz="4" w:space="0"/>
              <w:right w:val="single" w:color="auto" w:sz="4" w:space="0"/>
            </w:tcBorders>
            <w:vAlign w:val="center"/>
          </w:tcPr>
          <w:p w14:paraId="2E4B7F13">
            <w:pPr>
              <w:overflowPunct w:val="0"/>
              <w:adjustRightInd w:val="0"/>
              <w:jc w:val="left"/>
              <w:rPr>
                <w:rFonts w:hint="eastAsia" w:ascii="仿宋" w:hAnsi="仿宋" w:eastAsia="仿宋" w:cs="仿宋"/>
              </w:rPr>
            </w:pPr>
            <w:r>
              <w:rPr>
                <w:rFonts w:hint="eastAsia" w:ascii="仿宋" w:hAnsi="仿宋" w:eastAsia="仿宋" w:cs="仿宋"/>
              </w:rPr>
              <w:t>16</w:t>
            </w:r>
          </w:p>
        </w:tc>
        <w:tc>
          <w:tcPr>
            <w:tcW w:w="2591" w:type="dxa"/>
            <w:vMerge w:val="continue"/>
            <w:tcBorders>
              <w:top w:val="single" w:color="auto" w:sz="4" w:space="0"/>
              <w:left w:val="single" w:color="auto" w:sz="4" w:space="0"/>
              <w:bottom w:val="single" w:color="auto" w:sz="4" w:space="0"/>
              <w:right w:val="single" w:color="auto" w:sz="4" w:space="0"/>
            </w:tcBorders>
            <w:vAlign w:val="center"/>
          </w:tcPr>
          <w:p w14:paraId="55BF0BF9">
            <w:pPr>
              <w:overflowPunct w:val="0"/>
              <w:adjustRightInd w:val="0"/>
              <w:jc w:val="left"/>
              <w:rPr>
                <w:rFonts w:hint="eastAsia" w:ascii="仿宋" w:hAnsi="仿宋" w:eastAsia="仿宋" w:cs="仿宋"/>
              </w:rPr>
            </w:pPr>
          </w:p>
        </w:tc>
        <w:tc>
          <w:tcPr>
            <w:tcW w:w="1580" w:type="dxa"/>
            <w:vMerge w:val="continue"/>
            <w:tcBorders>
              <w:top w:val="single" w:color="auto" w:sz="4" w:space="0"/>
              <w:left w:val="single" w:color="auto" w:sz="4" w:space="0"/>
              <w:bottom w:val="single" w:color="auto" w:sz="4" w:space="0"/>
              <w:right w:val="single" w:color="auto" w:sz="4" w:space="0"/>
            </w:tcBorders>
            <w:vAlign w:val="center"/>
          </w:tcPr>
          <w:p w14:paraId="1DFABF29">
            <w:pPr>
              <w:overflowPunct w:val="0"/>
              <w:adjustRightInd w:val="0"/>
              <w:jc w:val="left"/>
              <w:rPr>
                <w:rFonts w:hint="eastAsia" w:ascii="仿宋" w:hAnsi="仿宋" w:eastAsia="仿宋" w:cs="仿宋"/>
              </w:rPr>
            </w:pPr>
          </w:p>
        </w:tc>
      </w:tr>
      <w:tr w14:paraId="41CA9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vMerge w:val="continue"/>
            <w:tcBorders>
              <w:top w:val="single" w:color="auto" w:sz="4" w:space="0"/>
              <w:left w:val="single" w:color="auto" w:sz="4" w:space="0"/>
              <w:bottom w:val="single" w:color="auto" w:sz="4" w:space="0"/>
              <w:right w:val="single" w:color="auto" w:sz="4" w:space="0"/>
            </w:tcBorders>
            <w:vAlign w:val="center"/>
          </w:tcPr>
          <w:p w14:paraId="55F9A904">
            <w:pPr>
              <w:overflowPunct w:val="0"/>
              <w:adjustRightInd w:val="0"/>
              <w:jc w:val="left"/>
              <w:rPr>
                <w:rFonts w:hint="eastAsia" w:ascii="仿宋" w:hAnsi="仿宋" w:eastAsia="仿宋" w:cs="仿宋"/>
              </w:rPr>
            </w:pPr>
          </w:p>
        </w:tc>
        <w:tc>
          <w:tcPr>
            <w:tcW w:w="2874" w:type="dxa"/>
            <w:tcBorders>
              <w:top w:val="single" w:color="auto" w:sz="4" w:space="0"/>
              <w:left w:val="single" w:color="auto" w:sz="4" w:space="0"/>
              <w:bottom w:val="single" w:color="auto" w:sz="4" w:space="0"/>
              <w:right w:val="single" w:color="auto" w:sz="4" w:space="0"/>
            </w:tcBorders>
            <w:vAlign w:val="center"/>
          </w:tcPr>
          <w:p w14:paraId="3D9D6094">
            <w:pPr>
              <w:overflowPunct w:val="0"/>
              <w:adjustRightInd w:val="0"/>
              <w:jc w:val="left"/>
              <w:rPr>
                <w:rFonts w:hint="eastAsia" w:ascii="仿宋" w:hAnsi="仿宋" w:eastAsia="仿宋" w:cs="仿宋"/>
              </w:rPr>
            </w:pPr>
            <w:r>
              <w:rPr>
                <w:rFonts w:hint="eastAsia" w:ascii="仿宋" w:hAnsi="仿宋" w:eastAsia="仿宋" w:cs="仿宋"/>
              </w:rPr>
              <w:t>认识实习</w:t>
            </w:r>
          </w:p>
        </w:tc>
        <w:tc>
          <w:tcPr>
            <w:tcW w:w="1395" w:type="dxa"/>
            <w:tcBorders>
              <w:top w:val="single" w:color="auto" w:sz="4" w:space="0"/>
              <w:left w:val="single" w:color="auto" w:sz="4" w:space="0"/>
              <w:bottom w:val="single" w:color="auto" w:sz="4" w:space="0"/>
              <w:right w:val="single" w:color="auto" w:sz="4" w:space="0"/>
            </w:tcBorders>
            <w:vAlign w:val="center"/>
          </w:tcPr>
          <w:p w14:paraId="6EC81379">
            <w:pPr>
              <w:overflowPunct w:val="0"/>
              <w:adjustRightInd w:val="0"/>
              <w:jc w:val="left"/>
              <w:rPr>
                <w:rFonts w:hint="eastAsia" w:ascii="仿宋" w:hAnsi="仿宋" w:eastAsia="仿宋" w:cs="仿宋"/>
              </w:rPr>
            </w:pPr>
            <w:r>
              <w:rPr>
                <w:rFonts w:hint="eastAsia" w:ascii="仿宋" w:hAnsi="仿宋" w:eastAsia="仿宋" w:cs="仿宋"/>
              </w:rPr>
              <w:t>0</w:t>
            </w:r>
          </w:p>
        </w:tc>
        <w:tc>
          <w:tcPr>
            <w:tcW w:w="2591" w:type="dxa"/>
            <w:vMerge w:val="continue"/>
            <w:tcBorders>
              <w:top w:val="single" w:color="auto" w:sz="4" w:space="0"/>
              <w:left w:val="single" w:color="auto" w:sz="4" w:space="0"/>
              <w:bottom w:val="single" w:color="auto" w:sz="4" w:space="0"/>
              <w:right w:val="single" w:color="auto" w:sz="4" w:space="0"/>
            </w:tcBorders>
            <w:vAlign w:val="center"/>
          </w:tcPr>
          <w:p w14:paraId="2E907ABD">
            <w:pPr>
              <w:overflowPunct w:val="0"/>
              <w:adjustRightInd w:val="0"/>
              <w:jc w:val="left"/>
              <w:rPr>
                <w:rFonts w:hint="eastAsia" w:ascii="仿宋" w:hAnsi="仿宋" w:eastAsia="仿宋" w:cs="仿宋"/>
              </w:rPr>
            </w:pPr>
          </w:p>
        </w:tc>
        <w:tc>
          <w:tcPr>
            <w:tcW w:w="1580" w:type="dxa"/>
            <w:vMerge w:val="continue"/>
            <w:tcBorders>
              <w:top w:val="single" w:color="auto" w:sz="4" w:space="0"/>
              <w:left w:val="single" w:color="auto" w:sz="4" w:space="0"/>
              <w:bottom w:val="single" w:color="auto" w:sz="4" w:space="0"/>
              <w:right w:val="single" w:color="auto" w:sz="4" w:space="0"/>
            </w:tcBorders>
            <w:vAlign w:val="center"/>
          </w:tcPr>
          <w:p w14:paraId="182829F9">
            <w:pPr>
              <w:overflowPunct w:val="0"/>
              <w:adjustRightInd w:val="0"/>
              <w:jc w:val="left"/>
              <w:rPr>
                <w:rFonts w:hint="eastAsia" w:ascii="仿宋" w:hAnsi="仿宋" w:eastAsia="仿宋" w:cs="仿宋"/>
              </w:rPr>
            </w:pPr>
          </w:p>
        </w:tc>
      </w:tr>
      <w:tr w14:paraId="3F4F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vMerge w:val="continue"/>
            <w:tcBorders>
              <w:top w:val="single" w:color="auto" w:sz="4" w:space="0"/>
              <w:left w:val="single" w:color="auto" w:sz="4" w:space="0"/>
              <w:bottom w:val="single" w:color="auto" w:sz="4" w:space="0"/>
              <w:right w:val="single" w:color="auto" w:sz="4" w:space="0"/>
            </w:tcBorders>
            <w:vAlign w:val="center"/>
          </w:tcPr>
          <w:p w14:paraId="382E039F">
            <w:pPr>
              <w:overflowPunct w:val="0"/>
              <w:adjustRightInd w:val="0"/>
              <w:jc w:val="left"/>
              <w:rPr>
                <w:rFonts w:hint="eastAsia" w:ascii="仿宋" w:hAnsi="仿宋" w:eastAsia="仿宋" w:cs="仿宋"/>
              </w:rPr>
            </w:pPr>
          </w:p>
        </w:tc>
        <w:tc>
          <w:tcPr>
            <w:tcW w:w="2874" w:type="dxa"/>
            <w:tcBorders>
              <w:top w:val="single" w:color="auto" w:sz="4" w:space="0"/>
              <w:left w:val="single" w:color="auto" w:sz="4" w:space="0"/>
              <w:bottom w:val="single" w:color="auto" w:sz="4" w:space="0"/>
              <w:right w:val="single" w:color="auto" w:sz="4" w:space="0"/>
            </w:tcBorders>
            <w:vAlign w:val="center"/>
          </w:tcPr>
          <w:p w14:paraId="7E8A54B9">
            <w:pPr>
              <w:overflowPunct w:val="0"/>
              <w:adjustRightInd w:val="0"/>
              <w:jc w:val="left"/>
              <w:rPr>
                <w:rFonts w:hint="eastAsia" w:ascii="仿宋" w:hAnsi="仿宋" w:eastAsia="仿宋" w:cs="仿宋"/>
              </w:rPr>
            </w:pPr>
            <w:r>
              <w:rPr>
                <w:rFonts w:hint="eastAsia" w:ascii="仿宋" w:hAnsi="仿宋" w:eastAsia="仿宋" w:cs="仿宋"/>
              </w:rPr>
              <w:t>岗位实习</w:t>
            </w:r>
          </w:p>
        </w:tc>
        <w:tc>
          <w:tcPr>
            <w:tcW w:w="1395" w:type="dxa"/>
            <w:tcBorders>
              <w:top w:val="single" w:color="auto" w:sz="4" w:space="0"/>
              <w:left w:val="single" w:color="auto" w:sz="4" w:space="0"/>
              <w:bottom w:val="single" w:color="auto" w:sz="4" w:space="0"/>
              <w:right w:val="single" w:color="auto" w:sz="4" w:space="0"/>
            </w:tcBorders>
            <w:vAlign w:val="center"/>
          </w:tcPr>
          <w:p w14:paraId="249A82BC">
            <w:pPr>
              <w:overflowPunct w:val="0"/>
              <w:adjustRightInd w:val="0"/>
              <w:jc w:val="lef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80</w:t>
            </w:r>
          </w:p>
        </w:tc>
        <w:tc>
          <w:tcPr>
            <w:tcW w:w="2591" w:type="dxa"/>
            <w:vMerge w:val="continue"/>
            <w:tcBorders>
              <w:top w:val="single" w:color="auto" w:sz="4" w:space="0"/>
              <w:left w:val="single" w:color="auto" w:sz="4" w:space="0"/>
              <w:bottom w:val="single" w:color="auto" w:sz="4" w:space="0"/>
              <w:right w:val="single" w:color="auto" w:sz="4" w:space="0"/>
            </w:tcBorders>
            <w:vAlign w:val="center"/>
          </w:tcPr>
          <w:p w14:paraId="504B1DB5">
            <w:pPr>
              <w:overflowPunct w:val="0"/>
              <w:adjustRightInd w:val="0"/>
              <w:jc w:val="left"/>
              <w:rPr>
                <w:rFonts w:hint="eastAsia" w:ascii="仿宋" w:hAnsi="仿宋" w:eastAsia="仿宋" w:cs="仿宋"/>
              </w:rPr>
            </w:pPr>
          </w:p>
        </w:tc>
        <w:tc>
          <w:tcPr>
            <w:tcW w:w="1580" w:type="dxa"/>
            <w:vMerge w:val="continue"/>
            <w:tcBorders>
              <w:top w:val="single" w:color="auto" w:sz="4" w:space="0"/>
              <w:left w:val="single" w:color="auto" w:sz="4" w:space="0"/>
              <w:bottom w:val="single" w:color="auto" w:sz="4" w:space="0"/>
              <w:right w:val="single" w:color="auto" w:sz="4" w:space="0"/>
            </w:tcBorders>
            <w:vAlign w:val="center"/>
          </w:tcPr>
          <w:p w14:paraId="352CC404">
            <w:pPr>
              <w:overflowPunct w:val="0"/>
              <w:adjustRightInd w:val="0"/>
              <w:jc w:val="left"/>
              <w:rPr>
                <w:rFonts w:hint="eastAsia" w:ascii="仿宋" w:hAnsi="仿宋" w:eastAsia="仿宋" w:cs="仿宋"/>
              </w:rPr>
            </w:pPr>
          </w:p>
        </w:tc>
      </w:tr>
      <w:tr w14:paraId="3A259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vMerge w:val="continue"/>
            <w:tcBorders>
              <w:top w:val="single" w:color="auto" w:sz="4" w:space="0"/>
              <w:left w:val="single" w:color="auto" w:sz="4" w:space="0"/>
              <w:bottom w:val="single" w:color="auto" w:sz="4" w:space="0"/>
              <w:right w:val="single" w:color="auto" w:sz="4" w:space="0"/>
            </w:tcBorders>
            <w:vAlign w:val="center"/>
          </w:tcPr>
          <w:p w14:paraId="6B5BDB18">
            <w:pPr>
              <w:overflowPunct w:val="0"/>
              <w:adjustRightInd w:val="0"/>
              <w:jc w:val="left"/>
              <w:rPr>
                <w:rFonts w:hint="eastAsia" w:ascii="仿宋" w:hAnsi="仿宋" w:eastAsia="仿宋" w:cs="仿宋"/>
              </w:rPr>
            </w:pPr>
          </w:p>
        </w:tc>
        <w:tc>
          <w:tcPr>
            <w:tcW w:w="2874" w:type="dxa"/>
            <w:tcBorders>
              <w:top w:val="single" w:color="auto" w:sz="4" w:space="0"/>
              <w:left w:val="single" w:color="auto" w:sz="4" w:space="0"/>
              <w:bottom w:val="single" w:color="auto" w:sz="4" w:space="0"/>
              <w:right w:val="single" w:color="auto" w:sz="4" w:space="0"/>
            </w:tcBorders>
            <w:vAlign w:val="center"/>
          </w:tcPr>
          <w:p w14:paraId="576723EB">
            <w:pPr>
              <w:overflowPunct w:val="0"/>
              <w:adjustRightInd w:val="0"/>
              <w:jc w:val="left"/>
              <w:rPr>
                <w:rFonts w:hint="eastAsia" w:ascii="仿宋" w:hAnsi="仿宋" w:eastAsia="仿宋" w:cs="仿宋"/>
              </w:rPr>
            </w:pPr>
            <w:r>
              <w:rPr>
                <w:rFonts w:hint="eastAsia" w:ascii="仿宋" w:hAnsi="仿宋" w:eastAsia="仿宋" w:cs="仿宋"/>
              </w:rPr>
              <w:t>毕业设计</w:t>
            </w:r>
          </w:p>
        </w:tc>
        <w:tc>
          <w:tcPr>
            <w:tcW w:w="1395" w:type="dxa"/>
            <w:tcBorders>
              <w:top w:val="single" w:color="auto" w:sz="4" w:space="0"/>
              <w:left w:val="single" w:color="auto" w:sz="4" w:space="0"/>
              <w:bottom w:val="single" w:color="auto" w:sz="4" w:space="0"/>
              <w:right w:val="single" w:color="auto" w:sz="4" w:space="0"/>
            </w:tcBorders>
            <w:vAlign w:val="center"/>
          </w:tcPr>
          <w:p w14:paraId="141352DE">
            <w:pPr>
              <w:overflowPunct w:val="0"/>
              <w:adjustRightInd w:val="0"/>
              <w:jc w:val="left"/>
              <w:rPr>
                <w:rFonts w:hint="eastAsia" w:ascii="仿宋" w:hAnsi="仿宋" w:eastAsia="仿宋" w:cs="仿宋"/>
              </w:rPr>
            </w:pPr>
            <w:r>
              <w:rPr>
                <w:rFonts w:hint="eastAsia" w:ascii="仿宋" w:hAnsi="仿宋" w:eastAsia="仿宋" w:cs="仿宋"/>
              </w:rPr>
              <w:t>80</w:t>
            </w:r>
          </w:p>
        </w:tc>
        <w:tc>
          <w:tcPr>
            <w:tcW w:w="2591" w:type="dxa"/>
            <w:vMerge w:val="continue"/>
            <w:tcBorders>
              <w:top w:val="single" w:color="auto" w:sz="4" w:space="0"/>
              <w:left w:val="single" w:color="auto" w:sz="4" w:space="0"/>
              <w:bottom w:val="single" w:color="auto" w:sz="4" w:space="0"/>
              <w:right w:val="single" w:color="auto" w:sz="4" w:space="0"/>
            </w:tcBorders>
            <w:vAlign w:val="center"/>
          </w:tcPr>
          <w:p w14:paraId="4B9524DF">
            <w:pPr>
              <w:overflowPunct w:val="0"/>
              <w:adjustRightInd w:val="0"/>
              <w:jc w:val="left"/>
              <w:rPr>
                <w:rFonts w:hint="eastAsia" w:ascii="仿宋" w:hAnsi="仿宋" w:eastAsia="仿宋" w:cs="仿宋"/>
              </w:rPr>
            </w:pPr>
          </w:p>
        </w:tc>
        <w:tc>
          <w:tcPr>
            <w:tcW w:w="1580" w:type="dxa"/>
            <w:vMerge w:val="continue"/>
            <w:tcBorders>
              <w:top w:val="single" w:color="auto" w:sz="4" w:space="0"/>
              <w:left w:val="single" w:color="auto" w:sz="4" w:space="0"/>
              <w:bottom w:val="single" w:color="auto" w:sz="4" w:space="0"/>
              <w:right w:val="single" w:color="auto" w:sz="4" w:space="0"/>
            </w:tcBorders>
            <w:vAlign w:val="center"/>
          </w:tcPr>
          <w:p w14:paraId="21F6087E">
            <w:pPr>
              <w:overflowPunct w:val="0"/>
              <w:adjustRightInd w:val="0"/>
              <w:jc w:val="left"/>
              <w:rPr>
                <w:rFonts w:hint="eastAsia" w:ascii="仿宋" w:hAnsi="仿宋" w:eastAsia="仿宋" w:cs="仿宋"/>
              </w:rPr>
            </w:pPr>
          </w:p>
        </w:tc>
      </w:tr>
      <w:tr w14:paraId="190A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vMerge w:val="continue"/>
            <w:tcBorders>
              <w:top w:val="single" w:color="auto" w:sz="4" w:space="0"/>
              <w:left w:val="single" w:color="auto" w:sz="4" w:space="0"/>
              <w:bottom w:val="single" w:color="auto" w:sz="4" w:space="0"/>
              <w:right w:val="single" w:color="auto" w:sz="4" w:space="0"/>
            </w:tcBorders>
            <w:vAlign w:val="center"/>
          </w:tcPr>
          <w:p w14:paraId="2097D0D3">
            <w:pPr>
              <w:overflowPunct w:val="0"/>
              <w:adjustRightInd w:val="0"/>
              <w:jc w:val="left"/>
              <w:rPr>
                <w:rFonts w:hint="eastAsia" w:ascii="仿宋" w:hAnsi="仿宋" w:eastAsia="仿宋" w:cs="仿宋"/>
              </w:rPr>
            </w:pPr>
          </w:p>
        </w:tc>
        <w:tc>
          <w:tcPr>
            <w:tcW w:w="2874" w:type="dxa"/>
            <w:tcBorders>
              <w:top w:val="single" w:color="auto" w:sz="4" w:space="0"/>
              <w:left w:val="single" w:color="auto" w:sz="4" w:space="0"/>
              <w:bottom w:val="single" w:color="auto" w:sz="4" w:space="0"/>
              <w:right w:val="single" w:color="auto" w:sz="4" w:space="0"/>
            </w:tcBorders>
            <w:vAlign w:val="center"/>
          </w:tcPr>
          <w:p w14:paraId="0E83704E">
            <w:pPr>
              <w:overflowPunct w:val="0"/>
              <w:adjustRightInd w:val="0"/>
              <w:jc w:val="left"/>
              <w:rPr>
                <w:rFonts w:hint="eastAsia" w:ascii="仿宋" w:hAnsi="仿宋" w:eastAsia="仿宋" w:cs="仿宋"/>
              </w:rPr>
            </w:pPr>
            <w:r>
              <w:rPr>
                <w:rFonts w:hint="eastAsia" w:ascii="仿宋" w:hAnsi="仿宋" w:eastAsia="仿宋" w:cs="仿宋"/>
              </w:rPr>
              <w:t>合计</w:t>
            </w:r>
          </w:p>
        </w:tc>
        <w:tc>
          <w:tcPr>
            <w:tcW w:w="1395" w:type="dxa"/>
            <w:tcBorders>
              <w:top w:val="single" w:color="auto" w:sz="4" w:space="0"/>
              <w:left w:val="single" w:color="auto" w:sz="4" w:space="0"/>
              <w:bottom w:val="single" w:color="auto" w:sz="4" w:space="0"/>
              <w:right w:val="single" w:color="auto" w:sz="4" w:space="0"/>
            </w:tcBorders>
            <w:vAlign w:val="center"/>
          </w:tcPr>
          <w:p w14:paraId="4D46ECB8">
            <w:pPr>
              <w:overflowPunct w:val="0"/>
              <w:adjustRightInd w:val="0"/>
              <w:jc w:val="left"/>
              <w:rPr>
                <w:rFonts w:hint="default" w:ascii="仿宋" w:hAnsi="仿宋" w:eastAsia="仿宋" w:cs="仿宋"/>
                <w:lang w:val="en-US" w:eastAsia="zh-CN"/>
              </w:rPr>
            </w:pPr>
            <w:r>
              <w:rPr>
                <w:rFonts w:hint="eastAsia" w:ascii="仿宋" w:hAnsi="仿宋" w:eastAsia="仿宋" w:cs="仿宋"/>
              </w:rPr>
              <w:t>23</w:t>
            </w:r>
            <w:r>
              <w:rPr>
                <w:rFonts w:hint="eastAsia" w:ascii="仿宋" w:hAnsi="仿宋" w:eastAsia="仿宋" w:cs="仿宋"/>
                <w:lang w:val="en-US" w:eastAsia="zh-CN"/>
              </w:rPr>
              <w:t>84</w:t>
            </w:r>
          </w:p>
        </w:tc>
        <w:tc>
          <w:tcPr>
            <w:tcW w:w="2591" w:type="dxa"/>
            <w:vMerge w:val="continue"/>
            <w:tcBorders>
              <w:top w:val="single" w:color="auto" w:sz="4" w:space="0"/>
              <w:left w:val="single" w:color="auto" w:sz="4" w:space="0"/>
              <w:bottom w:val="single" w:color="auto" w:sz="4" w:space="0"/>
              <w:right w:val="single" w:color="auto" w:sz="4" w:space="0"/>
            </w:tcBorders>
            <w:vAlign w:val="center"/>
          </w:tcPr>
          <w:p w14:paraId="188A3919">
            <w:pPr>
              <w:overflowPunct w:val="0"/>
              <w:adjustRightInd w:val="0"/>
              <w:jc w:val="left"/>
              <w:rPr>
                <w:rFonts w:hint="eastAsia" w:ascii="仿宋" w:hAnsi="仿宋" w:eastAsia="仿宋" w:cs="仿宋"/>
              </w:rPr>
            </w:pPr>
          </w:p>
        </w:tc>
        <w:tc>
          <w:tcPr>
            <w:tcW w:w="1580" w:type="dxa"/>
            <w:vMerge w:val="continue"/>
            <w:tcBorders>
              <w:top w:val="single" w:color="auto" w:sz="4" w:space="0"/>
              <w:left w:val="single" w:color="auto" w:sz="4" w:space="0"/>
              <w:bottom w:val="single" w:color="auto" w:sz="4" w:space="0"/>
              <w:right w:val="single" w:color="auto" w:sz="4" w:space="0"/>
            </w:tcBorders>
            <w:vAlign w:val="center"/>
          </w:tcPr>
          <w:p w14:paraId="33A7E97A">
            <w:pPr>
              <w:overflowPunct w:val="0"/>
              <w:adjustRightInd w:val="0"/>
              <w:jc w:val="left"/>
              <w:rPr>
                <w:rFonts w:hint="eastAsia" w:ascii="仿宋" w:hAnsi="仿宋" w:eastAsia="仿宋" w:cs="仿宋"/>
              </w:rPr>
            </w:pPr>
          </w:p>
        </w:tc>
      </w:tr>
      <w:tr w14:paraId="08FFF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tcBorders>
              <w:top w:val="single" w:color="auto" w:sz="4" w:space="0"/>
              <w:left w:val="single" w:color="auto" w:sz="4" w:space="0"/>
              <w:bottom w:val="single" w:color="auto" w:sz="4" w:space="0"/>
              <w:right w:val="single" w:color="auto" w:sz="4" w:space="0"/>
            </w:tcBorders>
            <w:vAlign w:val="center"/>
          </w:tcPr>
          <w:p w14:paraId="0F79FFE9">
            <w:pPr>
              <w:overflowPunct w:val="0"/>
              <w:adjustRightInd w:val="0"/>
              <w:jc w:val="left"/>
              <w:rPr>
                <w:rFonts w:hint="eastAsia" w:ascii="仿宋" w:hAnsi="仿宋" w:eastAsia="仿宋" w:cs="仿宋"/>
              </w:rPr>
            </w:pPr>
            <w:r>
              <w:rPr>
                <w:rFonts w:hint="eastAsia" w:ascii="仿宋" w:hAnsi="仿宋" w:eastAsia="仿宋" w:cs="仿宋"/>
              </w:rPr>
              <w:t>总学时</w:t>
            </w:r>
          </w:p>
        </w:tc>
        <w:tc>
          <w:tcPr>
            <w:tcW w:w="1395" w:type="dxa"/>
            <w:tcBorders>
              <w:top w:val="single" w:color="auto" w:sz="4" w:space="0"/>
              <w:left w:val="single" w:color="auto" w:sz="4" w:space="0"/>
              <w:bottom w:val="single" w:color="auto" w:sz="4" w:space="0"/>
              <w:right w:val="single" w:color="auto" w:sz="4" w:space="0"/>
            </w:tcBorders>
            <w:vAlign w:val="center"/>
          </w:tcPr>
          <w:p w14:paraId="6F2BACA1">
            <w:pPr>
              <w:overflowPunct w:val="0"/>
              <w:adjustRightInd w:val="0"/>
              <w:jc w:val="left"/>
              <w:rPr>
                <w:rFonts w:hint="default" w:ascii="仿宋" w:hAnsi="仿宋" w:eastAsia="仿宋" w:cs="仿宋"/>
                <w:lang w:val="en-US" w:eastAsia="zh-CN"/>
              </w:rPr>
            </w:pPr>
            <w:r>
              <w:rPr>
                <w:rFonts w:hint="eastAsia" w:ascii="仿宋" w:hAnsi="仿宋" w:eastAsia="仿宋" w:cs="仿宋"/>
              </w:rPr>
              <w:t>4</w:t>
            </w:r>
            <w:r>
              <w:rPr>
                <w:rFonts w:hint="eastAsia" w:ascii="仿宋" w:hAnsi="仿宋" w:eastAsia="仿宋" w:cs="仿宋"/>
                <w:lang w:val="en-US" w:eastAsia="zh-CN"/>
              </w:rPr>
              <w:t>614</w:t>
            </w:r>
          </w:p>
        </w:tc>
        <w:tc>
          <w:tcPr>
            <w:tcW w:w="2591" w:type="dxa"/>
            <w:tcBorders>
              <w:top w:val="single" w:color="auto" w:sz="4" w:space="0"/>
              <w:left w:val="single" w:color="auto" w:sz="4" w:space="0"/>
              <w:bottom w:val="single" w:color="auto" w:sz="4" w:space="0"/>
              <w:right w:val="single" w:color="auto" w:sz="4" w:space="0"/>
            </w:tcBorders>
            <w:vAlign w:val="center"/>
          </w:tcPr>
          <w:p w14:paraId="6AC88CCA">
            <w:pPr>
              <w:overflowPunct w:val="0"/>
              <w:adjustRightInd w:val="0"/>
              <w:jc w:val="left"/>
              <w:rPr>
                <w:rFonts w:hint="eastAsia" w:ascii="仿宋" w:hAnsi="仿宋" w:eastAsia="仿宋" w:cs="仿宋"/>
              </w:rPr>
            </w:pPr>
            <w:r>
              <w:rPr>
                <w:rFonts w:hint="eastAsia" w:ascii="仿宋" w:hAnsi="仿宋" w:eastAsia="仿宋" w:cs="仿宋"/>
              </w:rPr>
              <w:t>100%</w:t>
            </w:r>
          </w:p>
        </w:tc>
        <w:tc>
          <w:tcPr>
            <w:tcW w:w="1580" w:type="dxa"/>
            <w:tcBorders>
              <w:top w:val="single" w:color="auto" w:sz="4" w:space="0"/>
              <w:left w:val="single" w:color="auto" w:sz="4" w:space="0"/>
              <w:bottom w:val="single" w:color="auto" w:sz="4" w:space="0"/>
              <w:right w:val="single" w:color="auto" w:sz="4" w:space="0"/>
            </w:tcBorders>
            <w:vAlign w:val="center"/>
          </w:tcPr>
          <w:p w14:paraId="774BCF75">
            <w:pPr>
              <w:overflowPunct w:val="0"/>
              <w:adjustRightInd w:val="0"/>
              <w:jc w:val="left"/>
              <w:rPr>
                <w:rFonts w:hint="eastAsia" w:ascii="仿宋" w:hAnsi="仿宋" w:eastAsia="仿宋" w:cs="仿宋"/>
              </w:rPr>
            </w:pPr>
          </w:p>
        </w:tc>
      </w:tr>
    </w:tbl>
    <w:p w14:paraId="26BC214E">
      <w:pPr>
        <w:overflowPunct w:val="0"/>
        <w:adjustRightInd w:val="0"/>
        <w:ind w:firstLine="640" w:firstLineChars="200"/>
        <w:jc w:val="center"/>
        <w:rPr>
          <w:rFonts w:hint="eastAsia" w:ascii="仿宋" w:hAnsi="仿宋" w:eastAsia="仿宋" w:cs="仿宋"/>
        </w:rPr>
      </w:pPr>
      <w:r>
        <w:rPr>
          <w:rFonts w:hint="eastAsia" w:ascii="仿宋" w:hAnsi="仿宋" w:eastAsia="仿宋" w:cs="仿宋"/>
        </w:rPr>
        <w:t>表</w:t>
      </w:r>
      <w:r>
        <w:rPr>
          <w:rFonts w:hint="eastAsia" w:ascii="仿宋" w:hAnsi="仿宋" w:eastAsia="仿宋" w:cs="仿宋"/>
          <w:lang w:val="en-US" w:eastAsia="zh-CN"/>
        </w:rPr>
        <w:t>5</w:t>
      </w:r>
      <w:r>
        <w:rPr>
          <w:rFonts w:hint="eastAsia" w:ascii="仿宋" w:hAnsi="仿宋" w:eastAsia="仿宋" w:cs="仿宋"/>
        </w:rPr>
        <w:t>婴幼儿托幼服务与管理专业学时表</w:t>
      </w:r>
    </w:p>
    <w:tbl>
      <w:tblPr>
        <w:tblStyle w:val="13"/>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3153"/>
        <w:gridCol w:w="1593"/>
        <w:gridCol w:w="1593"/>
        <w:gridCol w:w="1449"/>
      </w:tblGrid>
      <w:tr w14:paraId="4000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tcBorders>
              <w:top w:val="single" w:color="auto" w:sz="4" w:space="0"/>
              <w:left w:val="single" w:color="auto" w:sz="4" w:space="0"/>
              <w:bottom w:val="single" w:color="auto" w:sz="4" w:space="0"/>
              <w:right w:val="single" w:color="auto" w:sz="4" w:space="0"/>
            </w:tcBorders>
            <w:vAlign w:val="center"/>
          </w:tcPr>
          <w:p w14:paraId="25BD5167">
            <w:pPr>
              <w:overflowPunct w:val="0"/>
              <w:adjustRightInd w:val="0"/>
              <w:ind w:firstLine="640" w:firstLineChars="200"/>
              <w:jc w:val="left"/>
              <w:rPr>
                <w:rFonts w:hint="eastAsia" w:ascii="仿宋" w:hAnsi="仿宋" w:eastAsia="仿宋" w:cs="仿宋"/>
              </w:rPr>
            </w:pPr>
            <w:r>
              <w:rPr>
                <w:rFonts w:hint="eastAsia" w:ascii="仿宋" w:hAnsi="仿宋" w:eastAsia="仿宋" w:cs="仿宋"/>
              </w:rPr>
              <w:t>课程</w:t>
            </w:r>
          </w:p>
          <w:p w14:paraId="4DB2AE2B">
            <w:pPr>
              <w:overflowPunct w:val="0"/>
              <w:adjustRightInd w:val="0"/>
              <w:ind w:firstLine="640" w:firstLineChars="200"/>
              <w:jc w:val="left"/>
              <w:rPr>
                <w:rFonts w:hint="eastAsia" w:ascii="仿宋" w:hAnsi="仿宋" w:eastAsia="仿宋" w:cs="仿宋"/>
              </w:rPr>
            </w:pPr>
            <w:r>
              <w:rPr>
                <w:rFonts w:hint="eastAsia" w:ascii="仿宋" w:hAnsi="仿宋" w:eastAsia="仿宋" w:cs="仿宋"/>
              </w:rPr>
              <w:t>类别</w:t>
            </w:r>
          </w:p>
        </w:tc>
        <w:tc>
          <w:tcPr>
            <w:tcW w:w="3151" w:type="dxa"/>
            <w:tcBorders>
              <w:top w:val="single" w:color="auto" w:sz="4" w:space="0"/>
              <w:left w:val="single" w:color="auto" w:sz="4" w:space="0"/>
              <w:bottom w:val="single" w:color="auto" w:sz="4" w:space="0"/>
              <w:right w:val="single" w:color="auto" w:sz="4" w:space="0"/>
            </w:tcBorders>
            <w:vAlign w:val="center"/>
          </w:tcPr>
          <w:p w14:paraId="4B857A52">
            <w:pPr>
              <w:overflowPunct w:val="0"/>
              <w:adjustRightInd w:val="0"/>
              <w:jc w:val="left"/>
              <w:rPr>
                <w:rFonts w:hint="eastAsia" w:ascii="仿宋" w:hAnsi="仿宋" w:eastAsia="仿宋" w:cs="仿宋"/>
              </w:rPr>
            </w:pPr>
            <w:r>
              <w:rPr>
                <w:rFonts w:hint="eastAsia" w:ascii="仿宋" w:hAnsi="仿宋" w:eastAsia="仿宋" w:cs="仿宋"/>
              </w:rPr>
              <w:t>课程模块</w:t>
            </w:r>
          </w:p>
        </w:tc>
        <w:tc>
          <w:tcPr>
            <w:tcW w:w="1592" w:type="dxa"/>
            <w:tcBorders>
              <w:top w:val="single" w:color="auto" w:sz="4" w:space="0"/>
              <w:left w:val="single" w:color="auto" w:sz="4" w:space="0"/>
              <w:bottom w:val="single" w:color="auto" w:sz="4" w:space="0"/>
              <w:right w:val="single" w:color="auto" w:sz="4" w:space="0"/>
            </w:tcBorders>
            <w:vAlign w:val="center"/>
          </w:tcPr>
          <w:p w14:paraId="03A88DF3">
            <w:pPr>
              <w:overflowPunct w:val="0"/>
              <w:adjustRightInd w:val="0"/>
              <w:ind w:firstLine="640" w:firstLineChars="200"/>
              <w:jc w:val="left"/>
              <w:rPr>
                <w:rFonts w:hint="eastAsia" w:ascii="仿宋" w:hAnsi="仿宋" w:eastAsia="仿宋" w:cs="仿宋"/>
              </w:rPr>
            </w:pPr>
            <w:r>
              <w:rPr>
                <w:rFonts w:hint="eastAsia" w:ascii="仿宋" w:hAnsi="仿宋" w:eastAsia="仿宋" w:cs="仿宋"/>
              </w:rPr>
              <w:t>课程</w:t>
            </w:r>
          </w:p>
          <w:p w14:paraId="469D0FE0">
            <w:pPr>
              <w:overflowPunct w:val="0"/>
              <w:adjustRightInd w:val="0"/>
              <w:ind w:firstLine="640" w:firstLineChars="200"/>
              <w:jc w:val="left"/>
              <w:rPr>
                <w:rFonts w:hint="eastAsia" w:ascii="仿宋" w:hAnsi="仿宋" w:eastAsia="仿宋" w:cs="仿宋"/>
              </w:rPr>
            </w:pPr>
            <w:r>
              <w:rPr>
                <w:rFonts w:hint="eastAsia" w:ascii="仿宋" w:hAnsi="仿宋" w:eastAsia="仿宋" w:cs="仿宋"/>
              </w:rPr>
              <w:t>门数</w:t>
            </w:r>
          </w:p>
        </w:tc>
        <w:tc>
          <w:tcPr>
            <w:tcW w:w="1592" w:type="dxa"/>
            <w:tcBorders>
              <w:top w:val="single" w:color="auto" w:sz="4" w:space="0"/>
              <w:left w:val="single" w:color="auto" w:sz="4" w:space="0"/>
              <w:bottom w:val="single" w:color="auto" w:sz="4" w:space="0"/>
              <w:right w:val="single" w:color="auto" w:sz="4" w:space="0"/>
            </w:tcBorders>
            <w:vAlign w:val="center"/>
          </w:tcPr>
          <w:p w14:paraId="78D233B4">
            <w:pPr>
              <w:overflowPunct w:val="0"/>
              <w:adjustRightInd w:val="0"/>
              <w:jc w:val="left"/>
              <w:rPr>
                <w:rFonts w:hint="eastAsia" w:ascii="仿宋" w:hAnsi="仿宋" w:eastAsia="仿宋" w:cs="仿宋"/>
              </w:rPr>
            </w:pPr>
            <w:r>
              <w:rPr>
                <w:rFonts w:hint="eastAsia" w:ascii="仿宋" w:hAnsi="仿宋" w:eastAsia="仿宋" w:cs="仿宋"/>
              </w:rPr>
              <w:t>学时数</w:t>
            </w:r>
          </w:p>
        </w:tc>
        <w:tc>
          <w:tcPr>
            <w:tcW w:w="1448" w:type="dxa"/>
            <w:tcBorders>
              <w:top w:val="single" w:color="auto" w:sz="4" w:space="0"/>
              <w:left w:val="single" w:color="auto" w:sz="4" w:space="0"/>
              <w:bottom w:val="single" w:color="auto" w:sz="4" w:space="0"/>
              <w:right w:val="single" w:color="auto" w:sz="4" w:space="0"/>
            </w:tcBorders>
            <w:vAlign w:val="center"/>
          </w:tcPr>
          <w:p w14:paraId="2008702D">
            <w:pPr>
              <w:overflowPunct w:val="0"/>
              <w:adjustRightInd w:val="0"/>
              <w:jc w:val="left"/>
              <w:rPr>
                <w:rFonts w:hint="eastAsia" w:ascii="仿宋" w:hAnsi="仿宋" w:eastAsia="仿宋" w:cs="仿宋"/>
              </w:rPr>
            </w:pPr>
            <w:r>
              <w:rPr>
                <w:rFonts w:hint="eastAsia" w:ascii="仿宋" w:hAnsi="仿宋" w:eastAsia="仿宋" w:cs="仿宋"/>
              </w:rPr>
              <w:t>所占比例</w:t>
            </w:r>
          </w:p>
        </w:tc>
      </w:tr>
      <w:tr w14:paraId="655F1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tcBorders>
              <w:top w:val="single" w:color="auto" w:sz="4" w:space="0"/>
              <w:left w:val="single" w:color="auto" w:sz="4" w:space="0"/>
              <w:bottom w:val="single" w:color="auto" w:sz="4" w:space="0"/>
              <w:right w:val="single" w:color="auto" w:sz="4" w:space="0"/>
            </w:tcBorders>
            <w:vAlign w:val="center"/>
          </w:tcPr>
          <w:p w14:paraId="1F677746">
            <w:pPr>
              <w:overflowPunct w:val="0"/>
              <w:adjustRightInd w:val="0"/>
              <w:jc w:val="left"/>
              <w:rPr>
                <w:rFonts w:hint="eastAsia" w:ascii="仿宋" w:hAnsi="仿宋" w:eastAsia="仿宋" w:cs="仿宋"/>
              </w:rPr>
            </w:pPr>
            <w:r>
              <w:rPr>
                <w:rFonts w:hint="eastAsia" w:ascii="仿宋" w:hAnsi="仿宋" w:eastAsia="仿宋" w:cs="仿宋"/>
              </w:rPr>
              <w:t>必修</w:t>
            </w:r>
          </w:p>
        </w:tc>
        <w:tc>
          <w:tcPr>
            <w:tcW w:w="3151" w:type="dxa"/>
            <w:tcBorders>
              <w:top w:val="single" w:color="auto" w:sz="4" w:space="0"/>
              <w:left w:val="single" w:color="auto" w:sz="4" w:space="0"/>
              <w:bottom w:val="single" w:color="auto" w:sz="4" w:space="0"/>
              <w:right w:val="single" w:color="auto" w:sz="4" w:space="0"/>
            </w:tcBorders>
            <w:vAlign w:val="center"/>
          </w:tcPr>
          <w:p w14:paraId="45D29924">
            <w:pPr>
              <w:overflowPunct w:val="0"/>
              <w:adjustRightInd w:val="0"/>
              <w:jc w:val="left"/>
              <w:rPr>
                <w:rFonts w:hint="eastAsia" w:ascii="仿宋" w:hAnsi="仿宋" w:eastAsia="仿宋" w:cs="仿宋"/>
              </w:rPr>
            </w:pPr>
            <w:r>
              <w:rPr>
                <w:rFonts w:hint="eastAsia" w:ascii="仿宋" w:hAnsi="仿宋" w:eastAsia="仿宋" w:cs="仿宋"/>
              </w:rPr>
              <w:t>公共基础必修课</w:t>
            </w:r>
          </w:p>
        </w:tc>
        <w:tc>
          <w:tcPr>
            <w:tcW w:w="1592" w:type="dxa"/>
            <w:tcBorders>
              <w:top w:val="single" w:color="auto" w:sz="4" w:space="0"/>
              <w:left w:val="single" w:color="auto" w:sz="4" w:space="0"/>
              <w:bottom w:val="single" w:color="auto" w:sz="4" w:space="0"/>
              <w:right w:val="single" w:color="auto" w:sz="4" w:space="0"/>
            </w:tcBorders>
            <w:vAlign w:val="center"/>
          </w:tcPr>
          <w:p w14:paraId="3B81F199">
            <w:pPr>
              <w:overflowPunct w:val="0"/>
              <w:adjustRightInd w:val="0"/>
              <w:jc w:val="left"/>
              <w:rPr>
                <w:rFonts w:hint="eastAsia" w:ascii="仿宋" w:hAnsi="仿宋" w:eastAsia="仿宋" w:cs="仿宋"/>
              </w:rPr>
            </w:pPr>
            <w:r>
              <w:rPr>
                <w:rFonts w:hint="eastAsia" w:ascii="仿宋" w:hAnsi="仿宋" w:eastAsia="仿宋" w:cs="仿宋"/>
              </w:rPr>
              <w:t>26</w:t>
            </w:r>
          </w:p>
        </w:tc>
        <w:tc>
          <w:tcPr>
            <w:tcW w:w="1592" w:type="dxa"/>
            <w:tcBorders>
              <w:top w:val="single" w:color="auto" w:sz="4" w:space="0"/>
              <w:left w:val="single" w:color="auto" w:sz="4" w:space="0"/>
              <w:bottom w:val="single" w:color="auto" w:sz="4" w:space="0"/>
              <w:right w:val="single" w:color="auto" w:sz="4" w:space="0"/>
            </w:tcBorders>
            <w:vAlign w:val="center"/>
          </w:tcPr>
          <w:p w14:paraId="4B25B846">
            <w:pPr>
              <w:overflowPunct w:val="0"/>
              <w:adjustRightInd w:val="0"/>
              <w:jc w:val="left"/>
              <w:rPr>
                <w:rFonts w:hint="eastAsia" w:ascii="仿宋" w:hAnsi="仿宋" w:eastAsia="仿宋" w:cs="仿宋"/>
              </w:rPr>
            </w:pPr>
            <w:r>
              <w:rPr>
                <w:rFonts w:hint="eastAsia" w:ascii="仿宋" w:hAnsi="仿宋" w:eastAsia="仿宋" w:cs="仿宋"/>
              </w:rPr>
              <w:t>1846</w:t>
            </w:r>
          </w:p>
        </w:tc>
        <w:tc>
          <w:tcPr>
            <w:tcW w:w="1448" w:type="dxa"/>
            <w:tcBorders>
              <w:top w:val="single" w:color="auto" w:sz="4" w:space="0"/>
              <w:left w:val="single" w:color="auto" w:sz="4" w:space="0"/>
              <w:bottom w:val="single" w:color="auto" w:sz="4" w:space="0"/>
              <w:right w:val="single" w:color="auto" w:sz="4" w:space="0"/>
            </w:tcBorders>
            <w:vAlign w:val="center"/>
          </w:tcPr>
          <w:p w14:paraId="0B5488BA">
            <w:pPr>
              <w:overflowPunct w:val="0"/>
              <w:adjustRightInd w:val="0"/>
              <w:jc w:val="left"/>
              <w:rPr>
                <w:rFonts w:hint="eastAsia" w:ascii="仿宋" w:hAnsi="仿宋" w:eastAsia="仿宋" w:cs="仿宋"/>
                <w:color w:val="auto"/>
              </w:rPr>
            </w:pPr>
            <w:r>
              <w:rPr>
                <w:rFonts w:hint="eastAsia" w:ascii="仿宋" w:hAnsi="仿宋" w:eastAsia="仿宋" w:cs="仿宋"/>
                <w:color w:val="auto"/>
              </w:rPr>
              <w:t>40.0</w:t>
            </w:r>
            <w:r>
              <w:rPr>
                <w:rFonts w:hint="eastAsia" w:ascii="仿宋" w:hAnsi="仿宋" w:eastAsia="仿宋" w:cs="仿宋"/>
                <w:color w:val="auto"/>
                <w:lang w:val="en-US" w:eastAsia="zh-CN"/>
              </w:rPr>
              <w:t>1</w:t>
            </w:r>
            <w:r>
              <w:rPr>
                <w:rFonts w:hint="eastAsia" w:ascii="仿宋" w:hAnsi="仿宋" w:eastAsia="仿宋" w:cs="仿宋"/>
                <w:color w:val="auto"/>
              </w:rPr>
              <w:t>%</w:t>
            </w:r>
          </w:p>
        </w:tc>
      </w:tr>
      <w:tr w14:paraId="0FE5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vMerge w:val="continue"/>
            <w:tcBorders>
              <w:top w:val="single" w:color="auto" w:sz="4" w:space="0"/>
              <w:left w:val="single" w:color="auto" w:sz="4" w:space="0"/>
              <w:bottom w:val="single" w:color="auto" w:sz="4" w:space="0"/>
              <w:right w:val="single" w:color="auto" w:sz="4" w:space="0"/>
            </w:tcBorders>
            <w:vAlign w:val="center"/>
          </w:tcPr>
          <w:p w14:paraId="71C91B2D">
            <w:pPr>
              <w:overflowPunct w:val="0"/>
              <w:adjustRightInd w:val="0"/>
              <w:jc w:val="left"/>
              <w:rPr>
                <w:rFonts w:hint="eastAsia" w:ascii="仿宋" w:hAnsi="仿宋" w:eastAsia="仿宋" w:cs="仿宋"/>
              </w:rPr>
            </w:pPr>
          </w:p>
        </w:tc>
        <w:tc>
          <w:tcPr>
            <w:tcW w:w="3151" w:type="dxa"/>
            <w:tcBorders>
              <w:top w:val="single" w:color="auto" w:sz="4" w:space="0"/>
              <w:left w:val="single" w:color="auto" w:sz="4" w:space="0"/>
              <w:bottom w:val="single" w:color="auto" w:sz="4" w:space="0"/>
              <w:right w:val="single" w:color="auto" w:sz="4" w:space="0"/>
            </w:tcBorders>
            <w:vAlign w:val="center"/>
          </w:tcPr>
          <w:p w14:paraId="5EA080C9">
            <w:pPr>
              <w:overflowPunct w:val="0"/>
              <w:adjustRightInd w:val="0"/>
              <w:jc w:val="left"/>
              <w:rPr>
                <w:rFonts w:hint="eastAsia" w:ascii="仿宋" w:hAnsi="仿宋" w:eastAsia="仿宋" w:cs="仿宋"/>
              </w:rPr>
            </w:pPr>
            <w:r>
              <w:rPr>
                <w:rFonts w:hint="eastAsia" w:ascii="仿宋" w:hAnsi="仿宋" w:eastAsia="仿宋" w:cs="仿宋"/>
              </w:rPr>
              <w:t>专业基础课</w:t>
            </w:r>
          </w:p>
        </w:tc>
        <w:tc>
          <w:tcPr>
            <w:tcW w:w="1592" w:type="dxa"/>
            <w:tcBorders>
              <w:top w:val="single" w:color="auto" w:sz="4" w:space="0"/>
              <w:left w:val="single" w:color="auto" w:sz="4" w:space="0"/>
              <w:bottom w:val="single" w:color="auto" w:sz="4" w:space="0"/>
              <w:right w:val="single" w:color="auto" w:sz="4" w:space="0"/>
            </w:tcBorders>
            <w:vAlign w:val="center"/>
          </w:tcPr>
          <w:p w14:paraId="7A683EBF">
            <w:pPr>
              <w:overflowPunct w:val="0"/>
              <w:adjustRightInd w:val="0"/>
              <w:jc w:val="left"/>
              <w:rPr>
                <w:rFonts w:hint="eastAsia" w:ascii="仿宋" w:hAnsi="仿宋" w:eastAsia="仿宋" w:cs="仿宋"/>
              </w:rPr>
            </w:pPr>
            <w:r>
              <w:rPr>
                <w:rFonts w:hint="eastAsia" w:ascii="仿宋" w:hAnsi="仿宋" w:eastAsia="仿宋" w:cs="仿宋"/>
              </w:rPr>
              <w:t>12</w:t>
            </w:r>
          </w:p>
        </w:tc>
        <w:tc>
          <w:tcPr>
            <w:tcW w:w="1592" w:type="dxa"/>
            <w:tcBorders>
              <w:top w:val="single" w:color="auto" w:sz="4" w:space="0"/>
              <w:left w:val="single" w:color="auto" w:sz="4" w:space="0"/>
              <w:bottom w:val="single" w:color="auto" w:sz="4" w:space="0"/>
              <w:right w:val="single" w:color="auto" w:sz="4" w:space="0"/>
            </w:tcBorders>
            <w:vAlign w:val="center"/>
          </w:tcPr>
          <w:p w14:paraId="303CABE4">
            <w:pPr>
              <w:overflowPunct w:val="0"/>
              <w:adjustRightInd w:val="0"/>
              <w:jc w:val="left"/>
              <w:rPr>
                <w:rFonts w:hint="default" w:ascii="仿宋" w:hAnsi="仿宋" w:eastAsia="仿宋" w:cs="仿宋"/>
                <w:lang w:val="en-US" w:eastAsia="zh-CN"/>
              </w:rPr>
            </w:pPr>
            <w:r>
              <w:rPr>
                <w:rFonts w:hint="eastAsia" w:ascii="仿宋" w:hAnsi="仿宋" w:eastAsia="仿宋" w:cs="仿宋"/>
              </w:rPr>
              <w:t>1</w:t>
            </w:r>
            <w:r>
              <w:rPr>
                <w:rFonts w:hint="eastAsia" w:ascii="仿宋" w:hAnsi="仿宋" w:eastAsia="仿宋" w:cs="仿宋"/>
                <w:lang w:val="en-US" w:eastAsia="zh-CN"/>
              </w:rPr>
              <w:t>040</w:t>
            </w:r>
          </w:p>
        </w:tc>
        <w:tc>
          <w:tcPr>
            <w:tcW w:w="1448" w:type="dxa"/>
            <w:tcBorders>
              <w:top w:val="single" w:color="auto" w:sz="4" w:space="0"/>
              <w:left w:val="single" w:color="auto" w:sz="4" w:space="0"/>
              <w:bottom w:val="single" w:color="auto" w:sz="4" w:space="0"/>
              <w:right w:val="single" w:color="auto" w:sz="4" w:space="0"/>
            </w:tcBorders>
            <w:vAlign w:val="center"/>
          </w:tcPr>
          <w:p w14:paraId="316A953E">
            <w:pPr>
              <w:overflowPunct w:val="0"/>
              <w:adjustRightInd w:val="0"/>
              <w:jc w:val="left"/>
              <w:rPr>
                <w:rFonts w:hint="eastAsia" w:ascii="仿宋" w:hAnsi="仿宋" w:eastAsia="仿宋" w:cs="仿宋"/>
                <w:color w:val="auto"/>
              </w:rPr>
            </w:pPr>
            <w:r>
              <w:rPr>
                <w:rFonts w:hint="eastAsia" w:ascii="仿宋" w:hAnsi="仿宋" w:eastAsia="仿宋" w:cs="仿宋"/>
                <w:color w:val="auto"/>
              </w:rPr>
              <w:t>22.54%</w:t>
            </w:r>
          </w:p>
        </w:tc>
      </w:tr>
      <w:tr w14:paraId="5CB3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vMerge w:val="continue"/>
            <w:tcBorders>
              <w:top w:val="single" w:color="auto" w:sz="4" w:space="0"/>
              <w:left w:val="single" w:color="auto" w:sz="4" w:space="0"/>
              <w:bottom w:val="single" w:color="auto" w:sz="4" w:space="0"/>
              <w:right w:val="single" w:color="auto" w:sz="4" w:space="0"/>
            </w:tcBorders>
            <w:vAlign w:val="center"/>
          </w:tcPr>
          <w:p w14:paraId="1F77B6D4">
            <w:pPr>
              <w:overflowPunct w:val="0"/>
              <w:adjustRightInd w:val="0"/>
              <w:jc w:val="left"/>
              <w:rPr>
                <w:rFonts w:hint="eastAsia" w:ascii="仿宋" w:hAnsi="仿宋" w:eastAsia="仿宋" w:cs="仿宋"/>
              </w:rPr>
            </w:pPr>
          </w:p>
        </w:tc>
        <w:tc>
          <w:tcPr>
            <w:tcW w:w="3151" w:type="dxa"/>
            <w:tcBorders>
              <w:top w:val="single" w:color="auto" w:sz="4" w:space="0"/>
              <w:left w:val="single" w:color="auto" w:sz="4" w:space="0"/>
              <w:bottom w:val="single" w:color="auto" w:sz="4" w:space="0"/>
              <w:right w:val="single" w:color="auto" w:sz="4" w:space="0"/>
            </w:tcBorders>
            <w:vAlign w:val="center"/>
          </w:tcPr>
          <w:p w14:paraId="230417B2">
            <w:pPr>
              <w:overflowPunct w:val="0"/>
              <w:adjustRightInd w:val="0"/>
              <w:jc w:val="left"/>
              <w:rPr>
                <w:rFonts w:hint="eastAsia" w:ascii="仿宋" w:hAnsi="仿宋" w:eastAsia="仿宋" w:cs="仿宋"/>
              </w:rPr>
            </w:pPr>
            <w:r>
              <w:rPr>
                <w:rFonts w:hint="eastAsia" w:ascii="仿宋" w:hAnsi="仿宋" w:eastAsia="仿宋" w:cs="仿宋"/>
              </w:rPr>
              <w:t>专业核心课</w:t>
            </w:r>
          </w:p>
        </w:tc>
        <w:tc>
          <w:tcPr>
            <w:tcW w:w="1592" w:type="dxa"/>
            <w:tcBorders>
              <w:top w:val="single" w:color="auto" w:sz="4" w:space="0"/>
              <w:left w:val="single" w:color="auto" w:sz="4" w:space="0"/>
              <w:bottom w:val="single" w:color="auto" w:sz="4" w:space="0"/>
              <w:right w:val="single" w:color="auto" w:sz="4" w:space="0"/>
            </w:tcBorders>
            <w:vAlign w:val="center"/>
          </w:tcPr>
          <w:p w14:paraId="7DF76055">
            <w:pPr>
              <w:overflowPunct w:val="0"/>
              <w:adjustRightInd w:val="0"/>
              <w:jc w:val="left"/>
              <w:rPr>
                <w:rFonts w:hint="eastAsia" w:ascii="仿宋" w:hAnsi="仿宋" w:eastAsia="仿宋" w:cs="仿宋"/>
              </w:rPr>
            </w:pPr>
            <w:r>
              <w:rPr>
                <w:rFonts w:hint="eastAsia" w:ascii="仿宋" w:hAnsi="仿宋" w:eastAsia="仿宋" w:cs="仿宋"/>
              </w:rPr>
              <w:t>7</w:t>
            </w:r>
          </w:p>
        </w:tc>
        <w:tc>
          <w:tcPr>
            <w:tcW w:w="1592" w:type="dxa"/>
            <w:tcBorders>
              <w:top w:val="single" w:color="auto" w:sz="4" w:space="0"/>
              <w:left w:val="single" w:color="auto" w:sz="4" w:space="0"/>
              <w:bottom w:val="single" w:color="auto" w:sz="4" w:space="0"/>
              <w:right w:val="single" w:color="auto" w:sz="4" w:space="0"/>
            </w:tcBorders>
            <w:vAlign w:val="center"/>
          </w:tcPr>
          <w:p w14:paraId="33C65F66">
            <w:pPr>
              <w:overflowPunct w:val="0"/>
              <w:adjustRightInd w:val="0"/>
              <w:jc w:val="left"/>
              <w:rPr>
                <w:rFonts w:hint="eastAsia" w:ascii="仿宋" w:hAnsi="仿宋" w:eastAsia="仿宋" w:cs="仿宋"/>
              </w:rPr>
            </w:pPr>
            <w:r>
              <w:rPr>
                <w:rFonts w:hint="eastAsia" w:ascii="仿宋" w:hAnsi="仿宋" w:eastAsia="仿宋" w:cs="仿宋"/>
              </w:rPr>
              <w:t>624</w:t>
            </w:r>
          </w:p>
        </w:tc>
        <w:tc>
          <w:tcPr>
            <w:tcW w:w="1448" w:type="dxa"/>
            <w:tcBorders>
              <w:top w:val="single" w:color="auto" w:sz="4" w:space="0"/>
              <w:left w:val="single" w:color="auto" w:sz="4" w:space="0"/>
              <w:bottom w:val="single" w:color="auto" w:sz="4" w:space="0"/>
              <w:right w:val="single" w:color="auto" w:sz="4" w:space="0"/>
            </w:tcBorders>
            <w:vAlign w:val="center"/>
          </w:tcPr>
          <w:p w14:paraId="36F9F9BB">
            <w:pPr>
              <w:overflowPunct w:val="0"/>
              <w:adjustRightInd w:val="0"/>
              <w:jc w:val="left"/>
              <w:rPr>
                <w:rFonts w:hint="eastAsia" w:ascii="仿宋" w:hAnsi="仿宋" w:eastAsia="仿宋" w:cs="仿宋"/>
                <w:color w:val="auto"/>
              </w:rPr>
            </w:pPr>
            <w:r>
              <w:rPr>
                <w:rFonts w:hint="eastAsia" w:ascii="仿宋" w:hAnsi="仿宋" w:eastAsia="仿宋" w:cs="仿宋"/>
                <w:color w:val="auto"/>
              </w:rPr>
              <w:t>13.52%</w:t>
            </w:r>
          </w:p>
        </w:tc>
      </w:tr>
      <w:tr w14:paraId="39F1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vMerge w:val="continue"/>
            <w:tcBorders>
              <w:top w:val="single" w:color="auto" w:sz="4" w:space="0"/>
              <w:left w:val="single" w:color="auto" w:sz="4" w:space="0"/>
              <w:bottom w:val="single" w:color="auto" w:sz="4" w:space="0"/>
              <w:right w:val="single" w:color="auto" w:sz="4" w:space="0"/>
            </w:tcBorders>
            <w:vAlign w:val="center"/>
          </w:tcPr>
          <w:p w14:paraId="06CD5A4D">
            <w:pPr>
              <w:overflowPunct w:val="0"/>
              <w:adjustRightInd w:val="0"/>
              <w:jc w:val="left"/>
              <w:rPr>
                <w:rFonts w:hint="eastAsia" w:ascii="仿宋" w:hAnsi="仿宋" w:eastAsia="仿宋" w:cs="仿宋"/>
              </w:rPr>
            </w:pPr>
          </w:p>
        </w:tc>
        <w:tc>
          <w:tcPr>
            <w:tcW w:w="3151" w:type="dxa"/>
            <w:tcBorders>
              <w:top w:val="single" w:color="auto" w:sz="4" w:space="0"/>
              <w:left w:val="single" w:color="auto" w:sz="4" w:space="0"/>
              <w:bottom w:val="single" w:color="auto" w:sz="4" w:space="0"/>
              <w:right w:val="single" w:color="auto" w:sz="4" w:space="0"/>
            </w:tcBorders>
            <w:vAlign w:val="center"/>
          </w:tcPr>
          <w:p w14:paraId="03CCB6A1">
            <w:pPr>
              <w:overflowPunct w:val="0"/>
              <w:adjustRightInd w:val="0"/>
              <w:jc w:val="left"/>
              <w:rPr>
                <w:rFonts w:hint="eastAsia" w:ascii="仿宋" w:hAnsi="仿宋" w:eastAsia="仿宋" w:cs="仿宋"/>
              </w:rPr>
            </w:pPr>
            <w:r>
              <w:rPr>
                <w:rFonts w:hint="eastAsia" w:ascii="仿宋" w:hAnsi="仿宋" w:eastAsia="仿宋" w:cs="仿宋"/>
              </w:rPr>
              <w:t>综合实践</w:t>
            </w:r>
          </w:p>
        </w:tc>
        <w:tc>
          <w:tcPr>
            <w:tcW w:w="1592" w:type="dxa"/>
            <w:tcBorders>
              <w:top w:val="single" w:color="auto" w:sz="4" w:space="0"/>
              <w:left w:val="single" w:color="auto" w:sz="4" w:space="0"/>
              <w:bottom w:val="single" w:color="auto" w:sz="4" w:space="0"/>
              <w:right w:val="single" w:color="auto" w:sz="4" w:space="0"/>
            </w:tcBorders>
            <w:vAlign w:val="center"/>
          </w:tcPr>
          <w:p w14:paraId="5E7693E2">
            <w:pPr>
              <w:overflowPunct w:val="0"/>
              <w:adjustRightInd w:val="0"/>
              <w:jc w:val="left"/>
              <w:rPr>
                <w:rFonts w:hint="eastAsia" w:ascii="仿宋" w:hAnsi="仿宋" w:eastAsia="仿宋" w:cs="仿宋"/>
              </w:rPr>
            </w:pPr>
            <w:r>
              <w:rPr>
                <w:rFonts w:hint="eastAsia" w:ascii="仿宋" w:hAnsi="仿宋" w:eastAsia="仿宋" w:cs="仿宋"/>
              </w:rPr>
              <w:t>5</w:t>
            </w:r>
          </w:p>
        </w:tc>
        <w:tc>
          <w:tcPr>
            <w:tcW w:w="1592" w:type="dxa"/>
            <w:tcBorders>
              <w:top w:val="single" w:color="auto" w:sz="4" w:space="0"/>
              <w:left w:val="single" w:color="auto" w:sz="4" w:space="0"/>
              <w:bottom w:val="single" w:color="auto" w:sz="4" w:space="0"/>
              <w:right w:val="single" w:color="auto" w:sz="4" w:space="0"/>
            </w:tcBorders>
            <w:vAlign w:val="center"/>
          </w:tcPr>
          <w:p w14:paraId="201A041A">
            <w:pPr>
              <w:overflowPunct w:val="0"/>
              <w:adjustRightInd w:val="0"/>
              <w:jc w:val="left"/>
              <w:rPr>
                <w:rFonts w:hint="eastAsia" w:ascii="仿宋" w:hAnsi="仿宋" w:eastAsia="仿宋" w:cs="仿宋"/>
              </w:rPr>
            </w:pPr>
            <w:r>
              <w:rPr>
                <w:rFonts w:hint="eastAsia" w:ascii="仿宋" w:hAnsi="仿宋" w:eastAsia="仿宋" w:cs="仿宋"/>
              </w:rPr>
              <w:t>592</w:t>
            </w:r>
          </w:p>
        </w:tc>
        <w:tc>
          <w:tcPr>
            <w:tcW w:w="1448" w:type="dxa"/>
            <w:tcBorders>
              <w:top w:val="single" w:color="auto" w:sz="4" w:space="0"/>
              <w:left w:val="single" w:color="auto" w:sz="4" w:space="0"/>
              <w:bottom w:val="single" w:color="auto" w:sz="4" w:space="0"/>
              <w:right w:val="single" w:color="auto" w:sz="4" w:space="0"/>
            </w:tcBorders>
            <w:vAlign w:val="center"/>
          </w:tcPr>
          <w:p w14:paraId="01AB480F">
            <w:pPr>
              <w:overflowPunct w:val="0"/>
              <w:adjustRightInd w:val="0"/>
              <w:jc w:val="left"/>
              <w:rPr>
                <w:rFonts w:hint="eastAsia" w:ascii="仿宋" w:hAnsi="仿宋" w:eastAsia="仿宋" w:cs="仿宋"/>
                <w:color w:val="auto"/>
              </w:rPr>
            </w:pPr>
            <w:r>
              <w:rPr>
                <w:rFonts w:hint="eastAsia" w:ascii="仿宋" w:hAnsi="仿宋" w:eastAsia="仿宋" w:cs="仿宋"/>
                <w:color w:val="auto"/>
              </w:rPr>
              <w:t>12.83%</w:t>
            </w:r>
          </w:p>
        </w:tc>
      </w:tr>
      <w:tr w14:paraId="145C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tcBorders>
              <w:top w:val="single" w:color="auto" w:sz="4" w:space="0"/>
              <w:left w:val="single" w:color="auto" w:sz="4" w:space="0"/>
              <w:bottom w:val="single" w:color="auto" w:sz="4" w:space="0"/>
              <w:right w:val="single" w:color="auto" w:sz="4" w:space="0"/>
            </w:tcBorders>
            <w:vAlign w:val="center"/>
          </w:tcPr>
          <w:p w14:paraId="05BCE800">
            <w:pPr>
              <w:overflowPunct w:val="0"/>
              <w:adjustRightInd w:val="0"/>
              <w:jc w:val="left"/>
              <w:rPr>
                <w:rFonts w:hint="eastAsia" w:ascii="仿宋" w:hAnsi="仿宋" w:eastAsia="仿宋" w:cs="仿宋"/>
              </w:rPr>
            </w:pPr>
            <w:r>
              <w:rPr>
                <w:rFonts w:hint="eastAsia" w:ascii="仿宋" w:hAnsi="仿宋" w:eastAsia="仿宋" w:cs="仿宋"/>
              </w:rPr>
              <w:t>选修</w:t>
            </w:r>
          </w:p>
        </w:tc>
        <w:tc>
          <w:tcPr>
            <w:tcW w:w="3151" w:type="dxa"/>
            <w:tcBorders>
              <w:top w:val="single" w:color="auto" w:sz="4" w:space="0"/>
              <w:left w:val="single" w:color="auto" w:sz="4" w:space="0"/>
              <w:bottom w:val="single" w:color="auto" w:sz="4" w:space="0"/>
              <w:right w:val="single" w:color="auto" w:sz="4" w:space="0"/>
            </w:tcBorders>
            <w:vAlign w:val="center"/>
          </w:tcPr>
          <w:p w14:paraId="6786A27B">
            <w:pPr>
              <w:overflowPunct w:val="0"/>
              <w:adjustRightInd w:val="0"/>
              <w:jc w:val="left"/>
              <w:rPr>
                <w:rFonts w:hint="eastAsia" w:ascii="仿宋" w:hAnsi="仿宋" w:eastAsia="仿宋" w:cs="仿宋"/>
              </w:rPr>
            </w:pPr>
            <w:r>
              <w:rPr>
                <w:rFonts w:hint="eastAsia" w:ascii="仿宋" w:hAnsi="仿宋" w:eastAsia="仿宋" w:cs="仿宋"/>
              </w:rPr>
              <w:t>公共基础选修课</w:t>
            </w:r>
          </w:p>
        </w:tc>
        <w:tc>
          <w:tcPr>
            <w:tcW w:w="1592" w:type="dxa"/>
            <w:tcBorders>
              <w:top w:val="single" w:color="auto" w:sz="4" w:space="0"/>
              <w:left w:val="single" w:color="auto" w:sz="4" w:space="0"/>
              <w:bottom w:val="single" w:color="auto" w:sz="4" w:space="0"/>
              <w:right w:val="single" w:color="auto" w:sz="4" w:space="0"/>
            </w:tcBorders>
            <w:vAlign w:val="center"/>
          </w:tcPr>
          <w:p w14:paraId="48F2733B">
            <w:pPr>
              <w:overflowPunct w:val="0"/>
              <w:adjustRightInd w:val="0"/>
              <w:jc w:val="left"/>
              <w:rPr>
                <w:rFonts w:hint="eastAsia" w:ascii="仿宋" w:hAnsi="仿宋" w:eastAsia="仿宋" w:cs="仿宋"/>
              </w:rPr>
            </w:pPr>
            <w:r>
              <w:rPr>
                <w:rFonts w:hint="eastAsia" w:ascii="仿宋" w:hAnsi="仿宋" w:eastAsia="仿宋" w:cs="仿宋"/>
              </w:rPr>
              <w:t>7</w:t>
            </w:r>
          </w:p>
        </w:tc>
        <w:tc>
          <w:tcPr>
            <w:tcW w:w="1592" w:type="dxa"/>
            <w:tcBorders>
              <w:top w:val="single" w:color="auto" w:sz="4" w:space="0"/>
              <w:left w:val="single" w:color="auto" w:sz="4" w:space="0"/>
              <w:bottom w:val="single" w:color="auto" w:sz="4" w:space="0"/>
              <w:right w:val="single" w:color="auto" w:sz="4" w:space="0"/>
            </w:tcBorders>
            <w:vAlign w:val="center"/>
          </w:tcPr>
          <w:p w14:paraId="797A0D76">
            <w:pPr>
              <w:overflowPunct w:val="0"/>
              <w:adjustRightInd w:val="0"/>
              <w:jc w:val="left"/>
              <w:rPr>
                <w:rFonts w:hint="eastAsia" w:ascii="仿宋" w:hAnsi="仿宋" w:eastAsia="仿宋" w:cs="仿宋"/>
              </w:rPr>
            </w:pPr>
            <w:r>
              <w:rPr>
                <w:rFonts w:hint="eastAsia" w:ascii="仿宋" w:hAnsi="仿宋" w:eastAsia="仿宋" w:cs="仿宋"/>
              </w:rPr>
              <w:t>128</w:t>
            </w:r>
          </w:p>
        </w:tc>
        <w:tc>
          <w:tcPr>
            <w:tcW w:w="1448" w:type="dxa"/>
            <w:tcBorders>
              <w:top w:val="single" w:color="auto" w:sz="4" w:space="0"/>
              <w:left w:val="single" w:color="auto" w:sz="4" w:space="0"/>
              <w:bottom w:val="single" w:color="auto" w:sz="4" w:space="0"/>
              <w:right w:val="single" w:color="auto" w:sz="4" w:space="0"/>
            </w:tcBorders>
            <w:vAlign w:val="center"/>
          </w:tcPr>
          <w:p w14:paraId="7676E815">
            <w:pPr>
              <w:overflowPunct w:val="0"/>
              <w:adjustRightInd w:val="0"/>
              <w:jc w:val="left"/>
              <w:rPr>
                <w:rFonts w:hint="eastAsia" w:ascii="仿宋" w:hAnsi="仿宋" w:eastAsia="仿宋" w:cs="仿宋"/>
                <w:color w:val="auto"/>
              </w:rPr>
            </w:pPr>
            <w:r>
              <w:rPr>
                <w:rFonts w:hint="eastAsia" w:ascii="仿宋" w:hAnsi="仿宋" w:eastAsia="仿宋" w:cs="仿宋"/>
                <w:color w:val="auto"/>
              </w:rPr>
              <w:t>2.7</w:t>
            </w:r>
            <w:r>
              <w:rPr>
                <w:rFonts w:hint="eastAsia" w:ascii="仿宋" w:hAnsi="仿宋" w:eastAsia="仿宋" w:cs="仿宋"/>
                <w:color w:val="auto"/>
                <w:lang w:val="en-US" w:eastAsia="zh-CN"/>
              </w:rPr>
              <w:t>8</w:t>
            </w:r>
            <w:r>
              <w:rPr>
                <w:rFonts w:hint="eastAsia" w:ascii="仿宋" w:hAnsi="仿宋" w:eastAsia="仿宋" w:cs="仿宋"/>
                <w:color w:val="auto"/>
              </w:rPr>
              <w:t>%</w:t>
            </w:r>
          </w:p>
        </w:tc>
      </w:tr>
      <w:tr w14:paraId="11E8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vMerge w:val="continue"/>
            <w:tcBorders>
              <w:top w:val="single" w:color="auto" w:sz="4" w:space="0"/>
              <w:left w:val="single" w:color="auto" w:sz="4" w:space="0"/>
              <w:bottom w:val="single" w:color="auto" w:sz="4" w:space="0"/>
              <w:right w:val="single" w:color="auto" w:sz="4" w:space="0"/>
            </w:tcBorders>
            <w:vAlign w:val="center"/>
          </w:tcPr>
          <w:p w14:paraId="67E0F9A4">
            <w:pPr>
              <w:overflowPunct w:val="0"/>
              <w:adjustRightInd w:val="0"/>
              <w:jc w:val="left"/>
              <w:rPr>
                <w:rFonts w:hint="eastAsia" w:ascii="仿宋" w:hAnsi="仿宋" w:eastAsia="仿宋" w:cs="仿宋"/>
              </w:rPr>
            </w:pPr>
          </w:p>
        </w:tc>
        <w:tc>
          <w:tcPr>
            <w:tcW w:w="3151" w:type="dxa"/>
            <w:tcBorders>
              <w:top w:val="single" w:color="auto" w:sz="4" w:space="0"/>
              <w:left w:val="single" w:color="auto" w:sz="4" w:space="0"/>
              <w:bottom w:val="single" w:color="auto" w:sz="4" w:space="0"/>
              <w:right w:val="single" w:color="auto" w:sz="4" w:space="0"/>
            </w:tcBorders>
            <w:vAlign w:val="center"/>
          </w:tcPr>
          <w:p w14:paraId="34034F31">
            <w:pPr>
              <w:overflowPunct w:val="0"/>
              <w:adjustRightInd w:val="0"/>
              <w:jc w:val="left"/>
              <w:rPr>
                <w:rFonts w:hint="eastAsia" w:ascii="仿宋" w:hAnsi="仿宋" w:eastAsia="仿宋" w:cs="仿宋"/>
              </w:rPr>
            </w:pPr>
            <w:r>
              <w:rPr>
                <w:rFonts w:hint="eastAsia" w:ascii="仿宋" w:hAnsi="仿宋" w:eastAsia="仿宋" w:cs="仿宋"/>
              </w:rPr>
              <w:t>专业拓展课</w:t>
            </w:r>
          </w:p>
        </w:tc>
        <w:tc>
          <w:tcPr>
            <w:tcW w:w="1592" w:type="dxa"/>
            <w:tcBorders>
              <w:top w:val="single" w:color="auto" w:sz="4" w:space="0"/>
              <w:left w:val="single" w:color="auto" w:sz="4" w:space="0"/>
              <w:bottom w:val="single" w:color="auto" w:sz="4" w:space="0"/>
              <w:right w:val="single" w:color="auto" w:sz="4" w:space="0"/>
            </w:tcBorders>
            <w:vAlign w:val="center"/>
          </w:tcPr>
          <w:p w14:paraId="61BCF743">
            <w:pPr>
              <w:overflowPunct w:val="0"/>
              <w:adjustRightInd w:val="0"/>
              <w:jc w:val="left"/>
              <w:rPr>
                <w:rFonts w:hint="eastAsia" w:ascii="仿宋" w:hAnsi="仿宋" w:eastAsia="仿宋" w:cs="仿宋"/>
              </w:rPr>
            </w:pPr>
            <w:r>
              <w:rPr>
                <w:rFonts w:hint="eastAsia" w:ascii="仿宋" w:hAnsi="仿宋" w:eastAsia="仿宋" w:cs="仿宋"/>
              </w:rPr>
              <w:t>6</w:t>
            </w:r>
          </w:p>
        </w:tc>
        <w:tc>
          <w:tcPr>
            <w:tcW w:w="1592" w:type="dxa"/>
            <w:tcBorders>
              <w:top w:val="single" w:color="auto" w:sz="4" w:space="0"/>
              <w:left w:val="single" w:color="auto" w:sz="4" w:space="0"/>
              <w:bottom w:val="single" w:color="auto" w:sz="4" w:space="0"/>
              <w:right w:val="single" w:color="auto" w:sz="4" w:space="0"/>
            </w:tcBorders>
            <w:vAlign w:val="center"/>
          </w:tcPr>
          <w:p w14:paraId="100EBE54">
            <w:pPr>
              <w:overflowPunct w:val="0"/>
              <w:adjustRightInd w:val="0"/>
              <w:jc w:val="left"/>
              <w:rPr>
                <w:rFonts w:hint="eastAsia" w:ascii="仿宋" w:hAnsi="仿宋" w:eastAsia="仿宋" w:cs="仿宋"/>
              </w:rPr>
            </w:pPr>
            <w:r>
              <w:rPr>
                <w:rFonts w:hint="eastAsia" w:ascii="仿宋" w:hAnsi="仿宋" w:eastAsia="仿宋" w:cs="仿宋"/>
              </w:rPr>
              <w:t>384</w:t>
            </w:r>
          </w:p>
        </w:tc>
        <w:tc>
          <w:tcPr>
            <w:tcW w:w="1448" w:type="dxa"/>
            <w:tcBorders>
              <w:top w:val="single" w:color="auto" w:sz="4" w:space="0"/>
              <w:left w:val="single" w:color="auto" w:sz="4" w:space="0"/>
              <w:bottom w:val="single" w:color="auto" w:sz="4" w:space="0"/>
              <w:right w:val="single" w:color="auto" w:sz="4" w:space="0"/>
            </w:tcBorders>
            <w:vAlign w:val="center"/>
          </w:tcPr>
          <w:p w14:paraId="4E4C38B9">
            <w:pPr>
              <w:overflowPunct w:val="0"/>
              <w:adjustRightInd w:val="0"/>
              <w:jc w:val="left"/>
              <w:rPr>
                <w:rFonts w:hint="eastAsia" w:ascii="仿宋" w:hAnsi="仿宋" w:eastAsia="仿宋" w:cs="仿宋"/>
                <w:color w:val="auto"/>
              </w:rPr>
            </w:pPr>
            <w:r>
              <w:rPr>
                <w:rFonts w:hint="eastAsia" w:ascii="仿宋" w:hAnsi="仿宋" w:eastAsia="仿宋" w:cs="仿宋"/>
                <w:color w:val="auto"/>
              </w:rPr>
              <w:t>8.3</w:t>
            </w:r>
            <w:r>
              <w:rPr>
                <w:rFonts w:hint="eastAsia" w:ascii="仿宋" w:hAnsi="仿宋" w:eastAsia="仿宋" w:cs="仿宋"/>
                <w:color w:val="auto"/>
                <w:lang w:val="en-US" w:eastAsia="zh-CN"/>
              </w:rPr>
              <w:t>2</w:t>
            </w:r>
            <w:r>
              <w:rPr>
                <w:rFonts w:hint="eastAsia" w:ascii="仿宋" w:hAnsi="仿宋" w:eastAsia="仿宋" w:cs="仿宋"/>
                <w:color w:val="auto"/>
              </w:rPr>
              <w:t>%</w:t>
            </w:r>
          </w:p>
        </w:tc>
      </w:tr>
      <w:tr w14:paraId="7865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tcBorders>
              <w:top w:val="single" w:color="auto" w:sz="4" w:space="0"/>
              <w:left w:val="single" w:color="auto" w:sz="4" w:space="0"/>
              <w:bottom w:val="single" w:color="auto" w:sz="4" w:space="0"/>
              <w:right w:val="single" w:color="auto" w:sz="4" w:space="0"/>
            </w:tcBorders>
            <w:vAlign w:val="center"/>
          </w:tcPr>
          <w:p w14:paraId="1EEA7F52">
            <w:pPr>
              <w:overflowPunct w:val="0"/>
              <w:adjustRightInd w:val="0"/>
              <w:jc w:val="left"/>
              <w:rPr>
                <w:rFonts w:hint="eastAsia" w:ascii="仿宋" w:hAnsi="仿宋" w:eastAsia="仿宋" w:cs="仿宋"/>
              </w:rPr>
            </w:pPr>
            <w:r>
              <w:rPr>
                <w:rFonts w:hint="eastAsia" w:ascii="仿宋" w:hAnsi="仿宋" w:eastAsia="仿宋" w:cs="仿宋"/>
              </w:rPr>
              <w:t>合计</w:t>
            </w:r>
          </w:p>
        </w:tc>
        <w:tc>
          <w:tcPr>
            <w:tcW w:w="1592" w:type="dxa"/>
            <w:tcBorders>
              <w:top w:val="single" w:color="auto" w:sz="4" w:space="0"/>
              <w:left w:val="single" w:color="auto" w:sz="4" w:space="0"/>
              <w:bottom w:val="single" w:color="auto" w:sz="4" w:space="0"/>
              <w:right w:val="single" w:color="auto" w:sz="4" w:space="0"/>
            </w:tcBorders>
            <w:vAlign w:val="center"/>
          </w:tcPr>
          <w:p w14:paraId="17A727DB">
            <w:pPr>
              <w:overflowPunct w:val="0"/>
              <w:adjustRightInd w:val="0"/>
              <w:jc w:val="left"/>
              <w:rPr>
                <w:rFonts w:hint="eastAsia" w:ascii="仿宋" w:hAnsi="仿宋" w:eastAsia="仿宋" w:cs="仿宋"/>
              </w:rPr>
            </w:pPr>
            <w:r>
              <w:rPr>
                <w:rFonts w:hint="eastAsia" w:ascii="仿宋" w:hAnsi="仿宋" w:eastAsia="仿宋" w:cs="仿宋"/>
              </w:rPr>
              <w:t>63</w:t>
            </w:r>
          </w:p>
        </w:tc>
        <w:tc>
          <w:tcPr>
            <w:tcW w:w="1592" w:type="dxa"/>
            <w:tcBorders>
              <w:top w:val="single" w:color="auto" w:sz="4" w:space="0"/>
              <w:left w:val="single" w:color="auto" w:sz="4" w:space="0"/>
              <w:bottom w:val="single" w:color="auto" w:sz="4" w:space="0"/>
              <w:right w:val="single" w:color="auto" w:sz="4" w:space="0"/>
            </w:tcBorders>
            <w:vAlign w:val="center"/>
          </w:tcPr>
          <w:p w14:paraId="0434FC8B">
            <w:pPr>
              <w:overflowPunct w:val="0"/>
              <w:adjustRightInd w:val="0"/>
              <w:jc w:val="left"/>
              <w:rPr>
                <w:rFonts w:hint="default" w:ascii="仿宋" w:hAnsi="仿宋" w:eastAsia="仿宋" w:cs="仿宋"/>
                <w:lang w:val="en-US" w:eastAsia="zh-CN"/>
              </w:rPr>
            </w:pPr>
            <w:r>
              <w:rPr>
                <w:rFonts w:hint="eastAsia" w:ascii="仿宋" w:hAnsi="仿宋" w:eastAsia="仿宋" w:cs="仿宋"/>
              </w:rPr>
              <w:t>4</w:t>
            </w:r>
            <w:r>
              <w:rPr>
                <w:rFonts w:hint="eastAsia" w:ascii="仿宋" w:hAnsi="仿宋" w:eastAsia="仿宋" w:cs="仿宋"/>
                <w:lang w:val="en-US" w:eastAsia="zh-CN"/>
              </w:rPr>
              <w:t>614</w:t>
            </w:r>
          </w:p>
        </w:tc>
        <w:tc>
          <w:tcPr>
            <w:tcW w:w="1448" w:type="dxa"/>
            <w:tcBorders>
              <w:top w:val="single" w:color="auto" w:sz="4" w:space="0"/>
              <w:left w:val="single" w:color="auto" w:sz="4" w:space="0"/>
              <w:bottom w:val="single" w:color="auto" w:sz="4" w:space="0"/>
              <w:right w:val="single" w:color="auto" w:sz="4" w:space="0"/>
            </w:tcBorders>
            <w:vAlign w:val="center"/>
          </w:tcPr>
          <w:p w14:paraId="0A5497B2">
            <w:pPr>
              <w:overflowPunct w:val="0"/>
              <w:adjustRightInd w:val="0"/>
              <w:jc w:val="left"/>
              <w:rPr>
                <w:rFonts w:hint="eastAsia" w:ascii="仿宋" w:hAnsi="仿宋" w:eastAsia="仿宋" w:cs="仿宋"/>
                <w:b/>
              </w:rPr>
            </w:pPr>
            <w:r>
              <w:rPr>
                <w:rFonts w:hint="eastAsia" w:ascii="仿宋" w:hAnsi="仿宋" w:eastAsia="仿宋" w:cs="仿宋"/>
              </w:rPr>
              <w:t>100%</w:t>
            </w:r>
          </w:p>
        </w:tc>
      </w:tr>
    </w:tbl>
    <w:p w14:paraId="62050C42">
      <w:pPr>
        <w:overflowPunct w:val="0"/>
        <w:adjustRightInd w:val="0"/>
        <w:jc w:val="left"/>
        <w:rPr>
          <w:rFonts w:hint="eastAsia" w:ascii="仿宋" w:hAnsi="仿宋" w:eastAsia="仿宋" w:cs="仿宋"/>
        </w:rPr>
      </w:pPr>
    </w:p>
    <w:p w14:paraId="7CB27A29">
      <w:pPr>
        <w:overflowPunct w:val="0"/>
        <w:adjustRightInd w:val="0"/>
        <w:ind w:firstLine="640" w:firstLineChars="200"/>
        <w:jc w:val="left"/>
        <w:rPr>
          <w:rFonts w:hint="eastAsia" w:ascii="仿宋" w:hAnsi="仿宋" w:eastAsia="仿宋" w:cs="仿宋"/>
        </w:rPr>
      </w:pPr>
      <w:r>
        <w:rPr>
          <w:rFonts w:hint="eastAsia" w:ascii="仿宋" w:hAnsi="仿宋" w:eastAsia="仿宋" w:cs="仿宋"/>
        </w:rPr>
        <w:t>表</w:t>
      </w:r>
      <w:r>
        <w:rPr>
          <w:rFonts w:hint="eastAsia" w:ascii="仿宋" w:hAnsi="仿宋" w:eastAsia="仿宋" w:cs="仿宋"/>
          <w:lang w:val="en-US" w:eastAsia="zh-CN"/>
        </w:rPr>
        <w:t>6</w:t>
      </w:r>
      <w:r>
        <w:rPr>
          <w:rFonts w:hint="eastAsia" w:ascii="仿宋" w:hAnsi="仿宋" w:eastAsia="仿宋" w:cs="仿宋"/>
        </w:rPr>
        <w:t>婴幼儿托幼服务与管理公共基础课程学时表</w:t>
      </w:r>
    </w:p>
    <w:tbl>
      <w:tblPr>
        <w:tblStyle w:val="13"/>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3153"/>
        <w:gridCol w:w="1593"/>
        <w:gridCol w:w="1593"/>
        <w:gridCol w:w="1449"/>
      </w:tblGrid>
      <w:tr w14:paraId="137C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tcBorders>
              <w:top w:val="single" w:color="auto" w:sz="4" w:space="0"/>
              <w:left w:val="single" w:color="auto" w:sz="4" w:space="0"/>
              <w:bottom w:val="single" w:color="auto" w:sz="4" w:space="0"/>
              <w:right w:val="single" w:color="auto" w:sz="4" w:space="0"/>
            </w:tcBorders>
            <w:vAlign w:val="center"/>
          </w:tcPr>
          <w:p w14:paraId="52F661A4">
            <w:pPr>
              <w:overflowPunct w:val="0"/>
              <w:adjustRightInd w:val="0"/>
              <w:ind w:firstLine="640" w:firstLineChars="200"/>
              <w:jc w:val="left"/>
              <w:rPr>
                <w:rFonts w:hint="eastAsia" w:ascii="仿宋" w:hAnsi="仿宋" w:eastAsia="仿宋" w:cs="仿宋"/>
              </w:rPr>
            </w:pPr>
            <w:r>
              <w:rPr>
                <w:rFonts w:hint="eastAsia" w:ascii="仿宋" w:hAnsi="仿宋" w:eastAsia="仿宋" w:cs="仿宋"/>
              </w:rPr>
              <w:t>课程</w:t>
            </w:r>
          </w:p>
          <w:p w14:paraId="37190FDF">
            <w:pPr>
              <w:overflowPunct w:val="0"/>
              <w:adjustRightInd w:val="0"/>
              <w:ind w:firstLine="640" w:firstLineChars="200"/>
              <w:jc w:val="left"/>
              <w:rPr>
                <w:rFonts w:hint="eastAsia" w:ascii="仿宋" w:hAnsi="仿宋" w:eastAsia="仿宋" w:cs="仿宋"/>
              </w:rPr>
            </w:pPr>
            <w:r>
              <w:rPr>
                <w:rFonts w:hint="eastAsia" w:ascii="仿宋" w:hAnsi="仿宋" w:eastAsia="仿宋" w:cs="仿宋"/>
              </w:rPr>
              <w:t>类别</w:t>
            </w:r>
          </w:p>
        </w:tc>
        <w:tc>
          <w:tcPr>
            <w:tcW w:w="3151" w:type="dxa"/>
            <w:tcBorders>
              <w:top w:val="single" w:color="auto" w:sz="4" w:space="0"/>
              <w:left w:val="single" w:color="auto" w:sz="4" w:space="0"/>
              <w:bottom w:val="single" w:color="auto" w:sz="4" w:space="0"/>
              <w:right w:val="single" w:color="auto" w:sz="4" w:space="0"/>
            </w:tcBorders>
            <w:vAlign w:val="center"/>
          </w:tcPr>
          <w:p w14:paraId="6E691F5E">
            <w:pPr>
              <w:overflowPunct w:val="0"/>
              <w:adjustRightInd w:val="0"/>
              <w:jc w:val="left"/>
              <w:rPr>
                <w:rFonts w:hint="eastAsia" w:ascii="仿宋" w:hAnsi="仿宋" w:eastAsia="仿宋" w:cs="仿宋"/>
              </w:rPr>
            </w:pPr>
            <w:r>
              <w:rPr>
                <w:rFonts w:hint="eastAsia" w:ascii="仿宋" w:hAnsi="仿宋" w:eastAsia="仿宋" w:cs="仿宋"/>
              </w:rPr>
              <w:t>课程模块</w:t>
            </w:r>
          </w:p>
        </w:tc>
        <w:tc>
          <w:tcPr>
            <w:tcW w:w="1592" w:type="dxa"/>
            <w:tcBorders>
              <w:top w:val="single" w:color="auto" w:sz="4" w:space="0"/>
              <w:left w:val="single" w:color="auto" w:sz="4" w:space="0"/>
              <w:bottom w:val="single" w:color="auto" w:sz="4" w:space="0"/>
              <w:right w:val="single" w:color="auto" w:sz="4" w:space="0"/>
            </w:tcBorders>
            <w:vAlign w:val="center"/>
          </w:tcPr>
          <w:p w14:paraId="0C9D20F0">
            <w:pPr>
              <w:overflowPunct w:val="0"/>
              <w:adjustRightInd w:val="0"/>
              <w:ind w:firstLine="640" w:firstLineChars="200"/>
              <w:jc w:val="left"/>
              <w:rPr>
                <w:rFonts w:hint="eastAsia" w:ascii="仿宋" w:hAnsi="仿宋" w:eastAsia="仿宋" w:cs="仿宋"/>
              </w:rPr>
            </w:pPr>
            <w:r>
              <w:rPr>
                <w:rFonts w:hint="eastAsia" w:ascii="仿宋" w:hAnsi="仿宋" w:eastAsia="仿宋" w:cs="仿宋"/>
              </w:rPr>
              <w:t>课程</w:t>
            </w:r>
          </w:p>
          <w:p w14:paraId="61054ED9">
            <w:pPr>
              <w:overflowPunct w:val="0"/>
              <w:adjustRightInd w:val="0"/>
              <w:ind w:firstLine="640" w:firstLineChars="200"/>
              <w:jc w:val="left"/>
              <w:rPr>
                <w:rFonts w:hint="eastAsia" w:ascii="仿宋" w:hAnsi="仿宋" w:eastAsia="仿宋" w:cs="仿宋"/>
              </w:rPr>
            </w:pPr>
            <w:r>
              <w:rPr>
                <w:rFonts w:hint="eastAsia" w:ascii="仿宋" w:hAnsi="仿宋" w:eastAsia="仿宋" w:cs="仿宋"/>
              </w:rPr>
              <w:t>门数</w:t>
            </w:r>
          </w:p>
        </w:tc>
        <w:tc>
          <w:tcPr>
            <w:tcW w:w="1592" w:type="dxa"/>
            <w:tcBorders>
              <w:top w:val="single" w:color="auto" w:sz="4" w:space="0"/>
              <w:left w:val="single" w:color="auto" w:sz="4" w:space="0"/>
              <w:bottom w:val="single" w:color="auto" w:sz="4" w:space="0"/>
              <w:right w:val="single" w:color="auto" w:sz="4" w:space="0"/>
            </w:tcBorders>
            <w:vAlign w:val="center"/>
          </w:tcPr>
          <w:p w14:paraId="5E31563E">
            <w:pPr>
              <w:overflowPunct w:val="0"/>
              <w:adjustRightInd w:val="0"/>
              <w:jc w:val="left"/>
              <w:rPr>
                <w:rFonts w:hint="eastAsia" w:ascii="仿宋" w:hAnsi="仿宋" w:eastAsia="仿宋" w:cs="仿宋"/>
              </w:rPr>
            </w:pPr>
            <w:r>
              <w:rPr>
                <w:rFonts w:hint="eastAsia" w:ascii="仿宋" w:hAnsi="仿宋" w:eastAsia="仿宋" w:cs="仿宋"/>
              </w:rPr>
              <w:t>学时数</w:t>
            </w:r>
          </w:p>
        </w:tc>
        <w:tc>
          <w:tcPr>
            <w:tcW w:w="1448" w:type="dxa"/>
            <w:tcBorders>
              <w:top w:val="single" w:color="auto" w:sz="4" w:space="0"/>
              <w:left w:val="single" w:color="auto" w:sz="4" w:space="0"/>
              <w:bottom w:val="single" w:color="auto" w:sz="4" w:space="0"/>
              <w:right w:val="single" w:color="auto" w:sz="4" w:space="0"/>
            </w:tcBorders>
            <w:vAlign w:val="center"/>
          </w:tcPr>
          <w:p w14:paraId="6D955A9A">
            <w:pPr>
              <w:overflowPunct w:val="0"/>
              <w:adjustRightInd w:val="0"/>
              <w:jc w:val="left"/>
              <w:rPr>
                <w:rFonts w:hint="eastAsia" w:ascii="仿宋" w:hAnsi="仿宋" w:eastAsia="仿宋" w:cs="仿宋"/>
              </w:rPr>
            </w:pPr>
            <w:r>
              <w:rPr>
                <w:rFonts w:hint="eastAsia" w:ascii="仿宋" w:hAnsi="仿宋" w:eastAsia="仿宋" w:cs="仿宋"/>
              </w:rPr>
              <w:t>所占比例</w:t>
            </w:r>
          </w:p>
        </w:tc>
      </w:tr>
      <w:tr w14:paraId="129D6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tcBorders>
              <w:top w:val="single" w:color="auto" w:sz="4" w:space="0"/>
              <w:left w:val="single" w:color="auto" w:sz="4" w:space="0"/>
              <w:bottom w:val="single" w:color="auto" w:sz="4" w:space="0"/>
              <w:right w:val="single" w:color="auto" w:sz="4" w:space="0"/>
            </w:tcBorders>
            <w:vAlign w:val="center"/>
          </w:tcPr>
          <w:p w14:paraId="6B36C36D">
            <w:pPr>
              <w:overflowPunct w:val="0"/>
              <w:adjustRightInd w:val="0"/>
              <w:jc w:val="left"/>
              <w:rPr>
                <w:rFonts w:hint="eastAsia" w:ascii="仿宋" w:hAnsi="仿宋" w:eastAsia="仿宋" w:cs="仿宋"/>
              </w:rPr>
            </w:pPr>
            <w:r>
              <w:rPr>
                <w:rFonts w:hint="eastAsia" w:ascii="仿宋" w:hAnsi="仿宋" w:eastAsia="仿宋" w:cs="仿宋"/>
              </w:rPr>
              <w:t>公共基础课</w:t>
            </w:r>
          </w:p>
        </w:tc>
        <w:tc>
          <w:tcPr>
            <w:tcW w:w="3151" w:type="dxa"/>
            <w:tcBorders>
              <w:top w:val="single" w:color="auto" w:sz="4" w:space="0"/>
              <w:left w:val="single" w:color="auto" w:sz="4" w:space="0"/>
              <w:bottom w:val="single" w:color="auto" w:sz="4" w:space="0"/>
              <w:right w:val="single" w:color="auto" w:sz="4" w:space="0"/>
            </w:tcBorders>
            <w:vAlign w:val="center"/>
          </w:tcPr>
          <w:p w14:paraId="594EDC7C">
            <w:pPr>
              <w:overflowPunct w:val="0"/>
              <w:adjustRightInd w:val="0"/>
              <w:jc w:val="left"/>
              <w:rPr>
                <w:rFonts w:hint="eastAsia" w:ascii="仿宋" w:hAnsi="仿宋" w:eastAsia="仿宋" w:cs="仿宋"/>
              </w:rPr>
            </w:pPr>
            <w:r>
              <w:rPr>
                <w:rFonts w:hint="eastAsia" w:ascii="仿宋" w:hAnsi="仿宋" w:eastAsia="仿宋" w:cs="仿宋"/>
              </w:rPr>
              <w:t>公共基础必修课</w:t>
            </w:r>
          </w:p>
        </w:tc>
        <w:tc>
          <w:tcPr>
            <w:tcW w:w="1592" w:type="dxa"/>
            <w:tcBorders>
              <w:top w:val="single" w:color="auto" w:sz="4" w:space="0"/>
              <w:left w:val="single" w:color="auto" w:sz="4" w:space="0"/>
              <w:bottom w:val="single" w:color="auto" w:sz="4" w:space="0"/>
              <w:right w:val="single" w:color="auto" w:sz="4" w:space="0"/>
            </w:tcBorders>
            <w:vAlign w:val="center"/>
          </w:tcPr>
          <w:p w14:paraId="645AF7F9">
            <w:pPr>
              <w:overflowPunct w:val="0"/>
              <w:adjustRightInd w:val="0"/>
              <w:jc w:val="left"/>
              <w:rPr>
                <w:rFonts w:hint="eastAsia" w:ascii="仿宋" w:hAnsi="仿宋" w:eastAsia="仿宋" w:cs="仿宋"/>
              </w:rPr>
            </w:pPr>
            <w:r>
              <w:rPr>
                <w:rFonts w:hint="eastAsia" w:ascii="仿宋" w:hAnsi="仿宋" w:eastAsia="仿宋" w:cs="仿宋"/>
              </w:rPr>
              <w:t>26</w:t>
            </w:r>
          </w:p>
        </w:tc>
        <w:tc>
          <w:tcPr>
            <w:tcW w:w="1592" w:type="dxa"/>
            <w:tcBorders>
              <w:top w:val="single" w:color="auto" w:sz="4" w:space="0"/>
              <w:left w:val="single" w:color="auto" w:sz="4" w:space="0"/>
              <w:bottom w:val="single" w:color="auto" w:sz="4" w:space="0"/>
              <w:right w:val="single" w:color="auto" w:sz="4" w:space="0"/>
            </w:tcBorders>
            <w:vAlign w:val="center"/>
          </w:tcPr>
          <w:p w14:paraId="5A0F4EB8">
            <w:pPr>
              <w:overflowPunct w:val="0"/>
              <w:adjustRightInd w:val="0"/>
              <w:jc w:val="left"/>
              <w:rPr>
                <w:rFonts w:hint="eastAsia" w:ascii="仿宋" w:hAnsi="仿宋" w:eastAsia="仿宋" w:cs="仿宋"/>
              </w:rPr>
            </w:pPr>
            <w:r>
              <w:rPr>
                <w:rFonts w:hint="eastAsia" w:ascii="仿宋" w:hAnsi="仿宋" w:eastAsia="仿宋" w:cs="仿宋"/>
              </w:rPr>
              <w:t>1846</w:t>
            </w:r>
          </w:p>
        </w:tc>
        <w:tc>
          <w:tcPr>
            <w:tcW w:w="1448" w:type="dxa"/>
            <w:tcBorders>
              <w:top w:val="single" w:color="auto" w:sz="4" w:space="0"/>
              <w:left w:val="single" w:color="auto" w:sz="4" w:space="0"/>
              <w:bottom w:val="single" w:color="auto" w:sz="4" w:space="0"/>
              <w:right w:val="single" w:color="auto" w:sz="4" w:space="0"/>
            </w:tcBorders>
            <w:vAlign w:val="center"/>
          </w:tcPr>
          <w:p w14:paraId="12068AD7">
            <w:pPr>
              <w:overflowPunct w:val="0"/>
              <w:adjustRightInd w:val="0"/>
              <w:jc w:val="left"/>
              <w:rPr>
                <w:rFonts w:hint="eastAsia" w:ascii="仿宋" w:hAnsi="仿宋" w:eastAsia="仿宋" w:cs="仿宋"/>
              </w:rPr>
            </w:pPr>
            <w:r>
              <w:rPr>
                <w:rFonts w:hint="eastAsia" w:ascii="仿宋" w:hAnsi="仿宋" w:eastAsia="仿宋" w:cs="仿宋"/>
              </w:rPr>
              <w:t>40.0</w:t>
            </w:r>
            <w:r>
              <w:rPr>
                <w:rFonts w:hint="eastAsia" w:ascii="仿宋" w:hAnsi="仿宋" w:eastAsia="仿宋" w:cs="仿宋"/>
                <w:lang w:val="en-US" w:eastAsia="zh-CN"/>
              </w:rPr>
              <w:t>1</w:t>
            </w:r>
            <w:r>
              <w:rPr>
                <w:rFonts w:hint="eastAsia" w:ascii="仿宋" w:hAnsi="仿宋" w:eastAsia="仿宋" w:cs="仿宋"/>
              </w:rPr>
              <w:t>%</w:t>
            </w:r>
          </w:p>
        </w:tc>
      </w:tr>
      <w:tr w14:paraId="34E93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vMerge w:val="continue"/>
            <w:tcBorders>
              <w:top w:val="single" w:color="auto" w:sz="4" w:space="0"/>
              <w:left w:val="single" w:color="auto" w:sz="4" w:space="0"/>
              <w:bottom w:val="single" w:color="auto" w:sz="4" w:space="0"/>
              <w:right w:val="single" w:color="auto" w:sz="4" w:space="0"/>
            </w:tcBorders>
            <w:vAlign w:val="center"/>
          </w:tcPr>
          <w:p w14:paraId="2D83691D">
            <w:pPr>
              <w:overflowPunct w:val="0"/>
              <w:adjustRightInd w:val="0"/>
              <w:jc w:val="left"/>
              <w:rPr>
                <w:rFonts w:hint="eastAsia" w:ascii="仿宋" w:hAnsi="仿宋" w:eastAsia="仿宋" w:cs="仿宋"/>
              </w:rPr>
            </w:pPr>
          </w:p>
        </w:tc>
        <w:tc>
          <w:tcPr>
            <w:tcW w:w="3151" w:type="dxa"/>
            <w:tcBorders>
              <w:top w:val="single" w:color="auto" w:sz="4" w:space="0"/>
              <w:left w:val="single" w:color="auto" w:sz="4" w:space="0"/>
              <w:bottom w:val="single" w:color="auto" w:sz="4" w:space="0"/>
              <w:right w:val="single" w:color="auto" w:sz="4" w:space="0"/>
            </w:tcBorders>
            <w:vAlign w:val="center"/>
          </w:tcPr>
          <w:p w14:paraId="74209360">
            <w:pPr>
              <w:overflowPunct w:val="0"/>
              <w:adjustRightInd w:val="0"/>
              <w:jc w:val="left"/>
              <w:rPr>
                <w:rFonts w:hint="eastAsia" w:ascii="仿宋" w:hAnsi="仿宋" w:eastAsia="仿宋" w:cs="仿宋"/>
              </w:rPr>
            </w:pPr>
            <w:r>
              <w:rPr>
                <w:rFonts w:hint="eastAsia" w:ascii="仿宋" w:hAnsi="仿宋" w:eastAsia="仿宋" w:cs="仿宋"/>
              </w:rPr>
              <w:t>公共基础选修课</w:t>
            </w:r>
          </w:p>
        </w:tc>
        <w:tc>
          <w:tcPr>
            <w:tcW w:w="1592" w:type="dxa"/>
            <w:tcBorders>
              <w:top w:val="single" w:color="auto" w:sz="4" w:space="0"/>
              <w:left w:val="single" w:color="auto" w:sz="4" w:space="0"/>
              <w:bottom w:val="single" w:color="auto" w:sz="4" w:space="0"/>
              <w:right w:val="single" w:color="auto" w:sz="4" w:space="0"/>
            </w:tcBorders>
            <w:vAlign w:val="center"/>
          </w:tcPr>
          <w:p w14:paraId="5912DA7B">
            <w:pPr>
              <w:overflowPunct w:val="0"/>
              <w:adjustRightInd w:val="0"/>
              <w:jc w:val="left"/>
              <w:rPr>
                <w:rFonts w:hint="eastAsia" w:ascii="仿宋" w:hAnsi="仿宋" w:eastAsia="仿宋" w:cs="仿宋"/>
              </w:rPr>
            </w:pPr>
            <w:r>
              <w:rPr>
                <w:rFonts w:hint="eastAsia" w:ascii="仿宋" w:hAnsi="仿宋" w:eastAsia="仿宋" w:cs="仿宋"/>
              </w:rPr>
              <w:t>7</w:t>
            </w:r>
          </w:p>
        </w:tc>
        <w:tc>
          <w:tcPr>
            <w:tcW w:w="1592" w:type="dxa"/>
            <w:tcBorders>
              <w:top w:val="single" w:color="auto" w:sz="4" w:space="0"/>
              <w:left w:val="single" w:color="auto" w:sz="4" w:space="0"/>
              <w:bottom w:val="single" w:color="auto" w:sz="4" w:space="0"/>
              <w:right w:val="single" w:color="auto" w:sz="4" w:space="0"/>
            </w:tcBorders>
            <w:vAlign w:val="center"/>
          </w:tcPr>
          <w:p w14:paraId="622706B0">
            <w:pPr>
              <w:overflowPunct w:val="0"/>
              <w:adjustRightInd w:val="0"/>
              <w:jc w:val="left"/>
              <w:rPr>
                <w:rFonts w:hint="eastAsia" w:ascii="仿宋" w:hAnsi="仿宋" w:eastAsia="仿宋" w:cs="仿宋"/>
              </w:rPr>
            </w:pPr>
            <w:r>
              <w:rPr>
                <w:rFonts w:hint="eastAsia" w:ascii="仿宋" w:hAnsi="仿宋" w:eastAsia="仿宋" w:cs="仿宋"/>
              </w:rPr>
              <w:t>128</w:t>
            </w:r>
          </w:p>
        </w:tc>
        <w:tc>
          <w:tcPr>
            <w:tcW w:w="1448" w:type="dxa"/>
            <w:tcBorders>
              <w:top w:val="single" w:color="auto" w:sz="4" w:space="0"/>
              <w:left w:val="single" w:color="auto" w:sz="4" w:space="0"/>
              <w:bottom w:val="single" w:color="auto" w:sz="4" w:space="0"/>
              <w:right w:val="single" w:color="auto" w:sz="4" w:space="0"/>
            </w:tcBorders>
            <w:vAlign w:val="center"/>
          </w:tcPr>
          <w:p w14:paraId="25D0AF69">
            <w:pPr>
              <w:overflowPunct w:val="0"/>
              <w:adjustRightInd w:val="0"/>
              <w:jc w:val="left"/>
              <w:rPr>
                <w:rFonts w:hint="eastAsia" w:ascii="仿宋" w:hAnsi="仿宋" w:eastAsia="仿宋" w:cs="仿宋"/>
              </w:rPr>
            </w:pPr>
            <w:r>
              <w:rPr>
                <w:rFonts w:hint="eastAsia" w:ascii="仿宋" w:hAnsi="仿宋" w:eastAsia="仿宋" w:cs="仿宋"/>
              </w:rPr>
              <w:t>2.7</w:t>
            </w:r>
            <w:r>
              <w:rPr>
                <w:rFonts w:hint="eastAsia" w:ascii="仿宋" w:hAnsi="仿宋" w:eastAsia="仿宋" w:cs="仿宋"/>
                <w:lang w:val="en-US" w:eastAsia="zh-CN"/>
              </w:rPr>
              <w:t>8</w:t>
            </w:r>
            <w:r>
              <w:rPr>
                <w:rFonts w:hint="eastAsia" w:ascii="仿宋" w:hAnsi="仿宋" w:eastAsia="仿宋" w:cs="仿宋"/>
              </w:rPr>
              <w:t>%</w:t>
            </w:r>
          </w:p>
        </w:tc>
      </w:tr>
      <w:tr w14:paraId="02ACE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tcBorders>
              <w:top w:val="single" w:color="auto" w:sz="4" w:space="0"/>
              <w:left w:val="single" w:color="auto" w:sz="4" w:space="0"/>
              <w:bottom w:val="single" w:color="auto" w:sz="4" w:space="0"/>
              <w:right w:val="single" w:color="auto" w:sz="4" w:space="0"/>
            </w:tcBorders>
            <w:vAlign w:val="center"/>
          </w:tcPr>
          <w:p w14:paraId="491422F3">
            <w:pPr>
              <w:overflowPunct w:val="0"/>
              <w:adjustRightInd w:val="0"/>
              <w:jc w:val="left"/>
              <w:rPr>
                <w:rFonts w:hint="eastAsia" w:ascii="仿宋" w:hAnsi="仿宋" w:eastAsia="仿宋" w:cs="仿宋"/>
                <w:bCs/>
              </w:rPr>
            </w:pPr>
            <w:r>
              <w:rPr>
                <w:rFonts w:hint="eastAsia" w:ascii="仿宋" w:hAnsi="仿宋" w:eastAsia="仿宋" w:cs="仿宋"/>
              </w:rPr>
              <w:t>合计占总学时</w:t>
            </w:r>
          </w:p>
        </w:tc>
        <w:tc>
          <w:tcPr>
            <w:tcW w:w="1448" w:type="dxa"/>
            <w:tcBorders>
              <w:top w:val="single" w:color="auto" w:sz="4" w:space="0"/>
              <w:left w:val="single" w:color="auto" w:sz="4" w:space="0"/>
              <w:bottom w:val="single" w:color="auto" w:sz="4" w:space="0"/>
              <w:right w:val="single" w:color="auto" w:sz="4" w:space="0"/>
            </w:tcBorders>
            <w:vAlign w:val="center"/>
          </w:tcPr>
          <w:p w14:paraId="4750F5F8">
            <w:pPr>
              <w:overflowPunct w:val="0"/>
              <w:adjustRightInd w:val="0"/>
              <w:jc w:val="left"/>
              <w:rPr>
                <w:rFonts w:hint="eastAsia" w:ascii="仿宋" w:hAnsi="仿宋" w:eastAsia="仿宋" w:cs="仿宋"/>
              </w:rPr>
            </w:pPr>
            <w:r>
              <w:rPr>
                <w:rFonts w:hint="eastAsia" w:ascii="仿宋" w:hAnsi="仿宋" w:eastAsia="仿宋" w:cs="仿宋"/>
              </w:rPr>
              <w:t>42.7</w:t>
            </w:r>
            <w:r>
              <w:rPr>
                <w:rFonts w:hint="eastAsia" w:ascii="仿宋" w:hAnsi="仿宋" w:eastAsia="仿宋" w:cs="仿宋"/>
                <w:lang w:val="en-US" w:eastAsia="zh-CN"/>
              </w:rPr>
              <w:t>9</w:t>
            </w:r>
            <w:r>
              <w:rPr>
                <w:rFonts w:hint="eastAsia" w:ascii="仿宋" w:hAnsi="仿宋" w:eastAsia="仿宋" w:cs="仿宋"/>
              </w:rPr>
              <w:t>%</w:t>
            </w:r>
          </w:p>
        </w:tc>
      </w:tr>
    </w:tbl>
    <w:p w14:paraId="12D45B8E">
      <w:pPr>
        <w:numPr>
          <w:ilvl w:val="0"/>
          <w:numId w:val="0"/>
        </w:numPr>
        <w:overflowPunct w:val="0"/>
        <w:adjustRightInd w:val="0"/>
        <w:jc w:val="left"/>
        <w:rPr>
          <w:rFonts w:hint="eastAsia" w:ascii="仿宋" w:hAnsi="仿宋" w:eastAsia="仿宋" w:cs="仿宋"/>
          <w:b/>
          <w:bCs/>
        </w:rPr>
      </w:pPr>
      <w:r>
        <w:rPr>
          <w:rFonts w:hint="eastAsia" w:ascii="仿宋" w:hAnsi="仿宋" w:eastAsia="仿宋" w:cs="仿宋"/>
          <w:b/>
          <w:bCs/>
          <w:lang w:val="en-US" w:eastAsia="zh-CN"/>
        </w:rPr>
        <w:t>八、</w:t>
      </w:r>
      <w:r>
        <w:rPr>
          <w:rFonts w:hint="eastAsia" w:ascii="仿宋" w:hAnsi="仿宋" w:eastAsia="仿宋" w:cs="仿宋"/>
          <w:b/>
          <w:bCs/>
        </w:rPr>
        <w:t>实施保障</w:t>
      </w:r>
    </w:p>
    <w:p w14:paraId="64DBA534">
      <w:pPr>
        <w:overflowPunct w:val="0"/>
        <w:adjustRightInd w:val="0"/>
        <w:ind w:firstLine="640" w:firstLineChars="200"/>
        <w:jc w:val="left"/>
        <w:rPr>
          <w:rFonts w:hint="eastAsia" w:ascii="仿宋" w:hAnsi="仿宋" w:eastAsia="仿宋" w:cs="仿宋"/>
        </w:rPr>
      </w:pPr>
      <w:r>
        <w:rPr>
          <w:rFonts w:hint="eastAsia" w:ascii="仿宋" w:hAnsi="仿宋" w:eastAsia="仿宋" w:cs="仿宋"/>
        </w:rPr>
        <w:t>主要包括师资队伍、教学设施、教学资源、教学方法、学习评价、质量管理等方面。</w:t>
      </w:r>
    </w:p>
    <w:p w14:paraId="2244E61B">
      <w:pPr>
        <w:overflowPunct w:val="0"/>
        <w:adjustRightInd w:val="0"/>
        <w:ind w:firstLine="643" w:firstLineChars="200"/>
        <w:jc w:val="left"/>
        <w:rPr>
          <w:rFonts w:hint="eastAsia" w:ascii="楷体" w:hAnsi="楷体" w:eastAsia="楷体" w:cs="楷体"/>
          <w:b/>
          <w:bCs/>
        </w:rPr>
      </w:pPr>
      <w:r>
        <w:rPr>
          <w:rFonts w:hint="eastAsia" w:ascii="楷体" w:hAnsi="楷体" w:eastAsia="楷体" w:cs="楷体"/>
          <w:b/>
          <w:bCs/>
        </w:rPr>
        <w:t>（一）师资队伍</w:t>
      </w:r>
    </w:p>
    <w:p w14:paraId="2850413C">
      <w:pPr>
        <w:overflowPunct w:val="0"/>
        <w:adjustRightInd w:val="0"/>
        <w:ind w:firstLine="640" w:firstLineChars="200"/>
        <w:jc w:val="left"/>
        <w:rPr>
          <w:rFonts w:hint="eastAsia" w:ascii="仿宋" w:hAnsi="仿宋" w:eastAsia="仿宋" w:cs="仿宋"/>
          <w:b/>
          <w:bCs/>
        </w:rPr>
      </w:pPr>
      <w:r>
        <w:rPr>
          <w:rFonts w:hint="eastAsia" w:ascii="仿宋" w:hAnsi="仿宋" w:eastAsia="仿宋" w:cs="仿宋"/>
        </w:rPr>
        <w:t>按照“四有好老师”“四个相统一”“四个引路人”的要求建设专业教师队伍，将师德师风作为教师队伍建设的第一标准。</w:t>
      </w:r>
    </w:p>
    <w:p w14:paraId="7FA489CC">
      <w:pPr>
        <w:overflowPunct w:val="0"/>
        <w:adjustRightInd w:val="0"/>
        <w:ind w:firstLine="643" w:firstLineChars="200"/>
        <w:jc w:val="left"/>
        <w:rPr>
          <w:rFonts w:hint="eastAsia" w:ascii="仿宋" w:hAnsi="仿宋" w:eastAsia="仿宋" w:cs="仿宋"/>
          <w:b/>
          <w:bCs/>
        </w:rPr>
      </w:pPr>
      <w:r>
        <w:rPr>
          <w:rFonts w:hint="eastAsia" w:ascii="仿宋" w:hAnsi="仿宋" w:eastAsia="仿宋" w:cs="仿宋"/>
          <w:b/>
          <w:bCs/>
        </w:rPr>
        <w:t>1.队伍结构</w:t>
      </w:r>
    </w:p>
    <w:p w14:paraId="3B1D8A7C">
      <w:pPr>
        <w:overflowPunct w:val="0"/>
        <w:adjustRightInd w:val="0"/>
        <w:ind w:firstLine="640" w:firstLineChars="200"/>
        <w:jc w:val="left"/>
        <w:rPr>
          <w:rFonts w:hint="eastAsia" w:ascii="仿宋" w:hAnsi="仿宋" w:eastAsia="仿宋" w:cs="仿宋"/>
        </w:rPr>
      </w:pPr>
      <w:r>
        <w:rPr>
          <w:rFonts w:hint="eastAsia" w:ascii="仿宋" w:hAnsi="仿宋" w:eastAsia="仿宋" w:cs="仿宋"/>
        </w:rPr>
        <w:t>本专业教师主要包括专任教师和兼职教师，共有教师28人，其中博士1人，硕士5人，副教授3人，生师比为24:1，双师型教师占比为60%，已经形成了一支以中青年教师为主体、“双师型”教师为骨干、“专兼结合”为特征的结构合理、素质较高、富有特色的教学团队。</w:t>
      </w:r>
    </w:p>
    <w:p w14:paraId="662467B7">
      <w:pPr>
        <w:overflowPunct w:val="0"/>
        <w:adjustRightInd w:val="0"/>
        <w:ind w:firstLine="643" w:firstLineChars="200"/>
        <w:jc w:val="left"/>
        <w:rPr>
          <w:rFonts w:hint="eastAsia" w:ascii="仿宋" w:hAnsi="仿宋" w:eastAsia="仿宋" w:cs="仿宋"/>
          <w:b/>
          <w:bCs/>
        </w:rPr>
      </w:pPr>
      <w:r>
        <w:rPr>
          <w:rFonts w:hint="eastAsia" w:ascii="仿宋" w:hAnsi="仿宋" w:eastAsia="仿宋" w:cs="仿宋"/>
          <w:b/>
          <w:bCs/>
        </w:rPr>
        <w:t>2.专业带头人</w:t>
      </w:r>
    </w:p>
    <w:p w14:paraId="03E09914">
      <w:pPr>
        <w:overflowPunct w:val="0"/>
        <w:adjustRightInd w:val="0"/>
        <w:ind w:firstLine="640" w:firstLineChars="200"/>
        <w:jc w:val="left"/>
        <w:rPr>
          <w:rFonts w:hint="eastAsia" w:ascii="仿宋" w:hAnsi="仿宋" w:eastAsia="仿宋" w:cs="仿宋"/>
        </w:rPr>
      </w:pPr>
      <w:r>
        <w:rPr>
          <w:rFonts w:hint="eastAsia" w:ascii="仿宋" w:hAnsi="仿宋" w:eastAsia="仿宋" w:cs="仿宋"/>
        </w:rPr>
        <w:t>专业带头人具有副高及以上职称，能够较好地把握国内外行业、专业发展，能广泛联系行业企业，了解行业企业对本专业人才的需求实际，教学设计、专业研究能力强，组织开展教科研工作能力强，在本区域或本领域具有一定的专业影响力。</w:t>
      </w:r>
    </w:p>
    <w:p w14:paraId="581D89BB">
      <w:pPr>
        <w:overflowPunct w:val="0"/>
        <w:adjustRightInd w:val="0"/>
        <w:ind w:firstLine="643" w:firstLineChars="200"/>
        <w:jc w:val="left"/>
        <w:rPr>
          <w:rFonts w:hint="eastAsia" w:ascii="仿宋" w:hAnsi="仿宋" w:eastAsia="仿宋" w:cs="仿宋"/>
          <w:b/>
          <w:bCs/>
        </w:rPr>
      </w:pPr>
      <w:r>
        <w:rPr>
          <w:rFonts w:hint="eastAsia" w:ascii="仿宋" w:hAnsi="仿宋" w:eastAsia="仿宋" w:cs="仿宋"/>
          <w:b/>
          <w:bCs/>
        </w:rPr>
        <w:t>3.专任教师</w:t>
      </w:r>
    </w:p>
    <w:p w14:paraId="31E0D0B7">
      <w:pPr>
        <w:overflowPunct w:val="0"/>
        <w:adjustRightInd w:val="0"/>
        <w:ind w:firstLine="640" w:firstLineChars="200"/>
        <w:jc w:val="left"/>
        <w:rPr>
          <w:rFonts w:hint="eastAsia" w:ascii="仿宋" w:hAnsi="仿宋" w:eastAsia="仿宋" w:cs="仿宋"/>
        </w:rPr>
      </w:pPr>
      <w:r>
        <w:rPr>
          <w:rFonts w:hint="eastAsia" w:ascii="仿宋" w:hAnsi="仿宋" w:eastAsia="仿宋" w:cs="仿宋"/>
        </w:rPr>
        <w:t>专任教师都具有高校教师资格；有理想信念、有道德情操、有扎实学识、有仁爱之心；具有计算机科学与技术或者软件工程等电子与信息大类相关专业本科及以上学历；具有扎实的本专业相关理论功底和实践能力；具有较强信息化教学能力，能够开展课程教学改革和科学研究；有每5年累计不少于6个月的企业实践经历。</w:t>
      </w:r>
    </w:p>
    <w:p w14:paraId="760347BE">
      <w:pPr>
        <w:overflowPunct w:val="0"/>
        <w:adjustRightInd w:val="0"/>
        <w:ind w:firstLine="643" w:firstLineChars="200"/>
        <w:jc w:val="left"/>
        <w:rPr>
          <w:rFonts w:hint="eastAsia" w:ascii="仿宋" w:hAnsi="仿宋" w:eastAsia="仿宋" w:cs="仿宋"/>
          <w:b/>
          <w:bCs/>
        </w:rPr>
      </w:pPr>
      <w:r>
        <w:rPr>
          <w:rFonts w:hint="eastAsia" w:ascii="仿宋" w:hAnsi="仿宋" w:eastAsia="仿宋" w:cs="仿宋"/>
          <w:b/>
          <w:bCs/>
        </w:rPr>
        <w:t>4.兼职教师</w:t>
      </w:r>
    </w:p>
    <w:p w14:paraId="71D4CBBA">
      <w:pPr>
        <w:overflowPunct w:val="0"/>
        <w:adjustRightInd w:val="0"/>
        <w:ind w:firstLine="640" w:firstLineChars="200"/>
        <w:jc w:val="left"/>
        <w:rPr>
          <w:rFonts w:hint="eastAsia" w:ascii="仿宋" w:hAnsi="仿宋" w:eastAsia="仿宋" w:cs="仿宋"/>
        </w:rPr>
      </w:pPr>
      <w:r>
        <w:rPr>
          <w:rFonts w:hint="eastAsia" w:ascii="仿宋" w:hAnsi="仿宋" w:eastAsia="仿宋" w:cs="仿宋"/>
        </w:rPr>
        <w:t>兼职教师主要从本专业相关的行业企业聘任，具备良好的思想政治素质、职业道德和工匠精神，具有扎实的专业知识和丰富的实际工作经验，具有中级及以上相关专业职称，能承专业课程教学、实习实训指导和学生职业发展规划指导等教学任务。</w:t>
      </w:r>
    </w:p>
    <w:p w14:paraId="32CDA38F">
      <w:pPr>
        <w:keepNext w:val="0"/>
        <w:keepLines w:val="0"/>
        <w:pageBreakBefore w:val="0"/>
        <w:widowControl w:val="0"/>
        <w:numPr>
          <w:ilvl w:val="0"/>
          <w:numId w:val="0"/>
        </w:numPr>
        <w:shd w:val="clea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color w:val="auto"/>
          <w:highlight w:val="none"/>
          <w:lang w:eastAsia="zh-CN"/>
        </w:rPr>
      </w:pPr>
      <w:r>
        <w:rPr>
          <w:rFonts w:hint="eastAsia" w:ascii="楷体_GB2312" w:hAnsi="楷体_GB2312" w:eastAsia="楷体_GB2312" w:cs="楷体_GB2312"/>
          <w:b/>
          <w:bCs/>
          <w:color w:val="auto"/>
          <w:kern w:val="2"/>
          <w:sz w:val="32"/>
          <w:szCs w:val="22"/>
          <w:highlight w:val="none"/>
          <w:lang w:val="en-US" w:eastAsia="zh-CN" w:bidi="ar-SA"/>
        </w:rPr>
        <w:t>（二）</w:t>
      </w:r>
      <w:r>
        <w:rPr>
          <w:rFonts w:hint="eastAsia" w:ascii="楷体_GB2312" w:hAnsi="楷体_GB2312" w:eastAsia="楷体_GB2312" w:cs="楷体_GB2312"/>
          <w:b/>
          <w:bCs/>
          <w:color w:val="auto"/>
          <w:highlight w:val="none"/>
          <w:lang w:eastAsia="zh-CN"/>
        </w:rPr>
        <w:t>教学设施</w:t>
      </w:r>
    </w:p>
    <w:p w14:paraId="19F2712B">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eastAsia="zh-CN"/>
        </w:rPr>
      </w:pPr>
      <w:r>
        <w:rPr>
          <w:rFonts w:hint="eastAsia" w:ascii="仿宋_GB2312" w:hAnsi="Times New Roman" w:cs="Times New Roman"/>
          <w:color w:val="auto"/>
          <w:highlight w:val="none"/>
          <w:lang w:val="en-US" w:eastAsia="zh-CN"/>
        </w:rPr>
        <w:t>主要包括能够满足正常的课程教学、实习实训所需的专业教室、实验室、实训室和实习实训基地。</w:t>
      </w:r>
      <w:r>
        <w:rPr>
          <w:rFonts w:hint="eastAsia" w:ascii="仿宋_GB2312" w:hAnsi="Times New Roman" w:cs="Times New Roman"/>
          <w:color w:val="auto"/>
          <w:highlight w:val="none"/>
          <w:lang w:eastAsia="zh-CN"/>
        </w:rPr>
        <w:t>对教室</w:t>
      </w:r>
      <w:r>
        <w:rPr>
          <w:rFonts w:hint="eastAsia" w:ascii="仿宋_GB2312" w:cs="Times New Roman"/>
          <w:color w:val="auto"/>
          <w:highlight w:val="none"/>
          <w:lang w:eastAsia="zh-CN"/>
        </w:rPr>
        <w:t>、</w:t>
      </w:r>
      <w:r>
        <w:rPr>
          <w:rFonts w:hint="eastAsia" w:ascii="仿宋_GB2312" w:hAnsi="Times New Roman" w:cs="Times New Roman"/>
          <w:color w:val="auto"/>
          <w:highlight w:val="none"/>
          <w:lang w:eastAsia="zh-CN"/>
        </w:rPr>
        <w:t>校内、校外实习实训基地。</w:t>
      </w:r>
    </w:p>
    <w:p w14:paraId="642735C5">
      <w:pPr>
        <w:keepNext w:val="0"/>
        <w:keepLines w:val="0"/>
        <w:pageBreakBefore w:val="0"/>
        <w:shd w:val="clear"/>
        <w:kinsoku/>
        <w:wordWrap/>
        <w:overflowPunct w:val="0"/>
        <w:topLinePunct w:val="0"/>
        <w:autoSpaceDE/>
        <w:autoSpaceDN/>
        <w:bidi w:val="0"/>
        <w:adjustRightInd w:val="0"/>
        <w:ind w:firstLine="643" w:firstLineChars="200"/>
        <w:outlineLvl w:val="9"/>
        <w:rPr>
          <w:rFonts w:hint="eastAsia" w:ascii="仿宋_GB2312" w:hAnsi="Times New Roman" w:cs="Times New Roman"/>
          <w:b/>
          <w:bCs/>
          <w:color w:val="auto"/>
          <w:highlight w:val="none"/>
          <w:lang w:val="en-US" w:eastAsia="zh-CN"/>
        </w:rPr>
      </w:pPr>
      <w:r>
        <w:rPr>
          <w:rFonts w:hint="default" w:ascii="仿宋_GB2312" w:hAnsi="Times New Roman" w:cs="Times New Roman"/>
          <w:b/>
          <w:bCs/>
          <w:color w:val="auto"/>
          <w:highlight w:val="none"/>
          <w:lang w:val="en-US" w:eastAsia="zh-CN"/>
        </w:rPr>
        <w:t>1.</w:t>
      </w:r>
      <w:r>
        <w:rPr>
          <w:rFonts w:hint="eastAsia" w:ascii="仿宋_GB2312" w:hAnsi="Times New Roman" w:cs="Times New Roman"/>
          <w:b/>
          <w:bCs/>
          <w:color w:val="auto"/>
          <w:highlight w:val="none"/>
          <w:lang w:val="en-US" w:eastAsia="zh-CN"/>
        </w:rPr>
        <w:t>专业教室基本要求</w:t>
      </w:r>
    </w:p>
    <w:p w14:paraId="7A88259F">
      <w:pPr>
        <w:keepNext w:val="0"/>
        <w:keepLines w:val="0"/>
        <w:pageBreakBefore w:val="0"/>
        <w:shd w:val="clear"/>
        <w:kinsoku/>
        <w:wordWrap/>
        <w:overflowPunct w:val="0"/>
        <w:topLinePunct w:val="0"/>
        <w:autoSpaceDE/>
        <w:autoSpaceDN/>
        <w:bidi w:val="0"/>
        <w:adjustRightInd w:val="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具备利用信息化手段开展混合式教学的条件。一般配备黑（白）板、多媒体计算机、投 影设备、音响设备，具有互联网接入或无线网络环境及网络安全防护措施。安装应急照明装 置并保持良好状态，符合紧急疏散要求，安防标志明显，保持逃生通道畅通无阻。 </w:t>
      </w:r>
    </w:p>
    <w:p w14:paraId="16D1225F">
      <w:pPr>
        <w:keepNext w:val="0"/>
        <w:keepLines w:val="0"/>
        <w:pageBreakBefore w:val="0"/>
        <w:shd w:val="clear"/>
        <w:kinsoku/>
        <w:wordWrap/>
        <w:overflowPunct w:val="0"/>
        <w:topLinePunct w:val="0"/>
        <w:autoSpaceDE/>
        <w:autoSpaceDN/>
        <w:bidi w:val="0"/>
        <w:adjustRightInd w:val="0"/>
        <w:ind w:firstLine="643"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b/>
          <w:bCs/>
          <w:color w:val="auto"/>
          <w:highlight w:val="none"/>
          <w:lang w:val="en-US" w:eastAsia="zh-CN"/>
        </w:rPr>
        <w:t>2</w:t>
      </w:r>
      <w:r>
        <w:rPr>
          <w:rFonts w:hint="default" w:ascii="仿宋_GB2312" w:hAnsi="Times New Roman" w:cs="Times New Roman"/>
          <w:b/>
          <w:bCs/>
          <w:color w:val="auto"/>
          <w:highlight w:val="none"/>
          <w:lang w:val="en-US" w:eastAsia="zh-CN"/>
        </w:rPr>
        <w:t>.校内外实训场所基本要求</w:t>
      </w:r>
      <w:r>
        <w:rPr>
          <w:rFonts w:hint="default" w:ascii="仿宋_GB2312" w:hAnsi="Times New Roman" w:cs="Times New Roman"/>
          <w:color w:val="auto"/>
          <w:highlight w:val="none"/>
          <w:lang w:val="en-US" w:eastAsia="zh-CN"/>
        </w:rPr>
        <w:t xml:space="preserve"> </w:t>
      </w:r>
    </w:p>
    <w:p w14:paraId="48769769">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婴幼儿生活照料、婴幼儿游戏活动实施、婴幼儿卫生保健、婴幼儿急救、智慧托育服务与管理等实训活动。鼓励在实训中运用大数据、云计算、人工智能、虚拟仿真等前沿信息技术。 </w:t>
      </w:r>
    </w:p>
    <w:p w14:paraId="55F1B638">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w:t>
      </w:r>
      <w:r>
        <w:rPr>
          <w:rFonts w:hint="default" w:ascii="仿宋_GB2312" w:hAnsi="Times New Roman" w:cs="Times New Roman"/>
          <w:color w:val="auto"/>
          <w:highlight w:val="none"/>
          <w:lang w:val="en-US" w:eastAsia="zh-CN"/>
        </w:rPr>
        <w:t>1</w:t>
      </w:r>
      <w:r>
        <w:rPr>
          <w:rFonts w:hint="eastAsia" w:ascii="仿宋_GB2312" w:hAnsi="Times New Roman" w:cs="Times New Roman"/>
          <w:color w:val="auto"/>
          <w:highlight w:val="none"/>
          <w:lang w:val="en-US" w:eastAsia="zh-CN"/>
        </w:rPr>
        <w:t xml:space="preserve">）婴幼儿生活照料实训室 </w:t>
      </w:r>
    </w:p>
    <w:p w14:paraId="5F4F5100">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配备触摸一体机、音视频播放设备、投影仪、婴幼儿模型、婴幼儿服饰、膳食宝塔、食物模型，以及婴幼儿饮食、睡眠、盥洗、如厕、出行等所需设施设备与用品材料等，用于婴 </w:t>
      </w:r>
    </w:p>
    <w:p w14:paraId="3E1D4B4F">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幼儿膳食搭配、营养成分计算、喂养、拍嗝、哄睡、盥洗、“三浴”锻炼、抚触与被动操、服饰与尿布更换、大小便清理、户外出行、有效互动以及托育机构生活环境创设、风险排查等实训教学。 </w:t>
      </w:r>
    </w:p>
    <w:p w14:paraId="264C8DFE">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w:t>
      </w:r>
      <w:r>
        <w:rPr>
          <w:rFonts w:hint="default" w:ascii="仿宋_GB2312" w:hAnsi="Times New Roman" w:cs="Times New Roman"/>
          <w:color w:val="auto"/>
          <w:highlight w:val="none"/>
          <w:lang w:val="en-US" w:eastAsia="zh-CN"/>
        </w:rPr>
        <w:t>2</w:t>
      </w:r>
      <w:r>
        <w:rPr>
          <w:rFonts w:hint="eastAsia" w:ascii="仿宋_GB2312" w:hAnsi="Times New Roman" w:cs="Times New Roman"/>
          <w:color w:val="auto"/>
          <w:highlight w:val="none"/>
          <w:lang w:val="en-US" w:eastAsia="zh-CN"/>
        </w:rPr>
        <w:t xml:space="preserve">）婴幼儿游戏活动实训室 </w:t>
      </w:r>
    </w:p>
    <w:p w14:paraId="21BC9F35">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配备音视频播放设备、投影仪、计算机、布告栏（或黑</w:t>
      </w:r>
      <w:r>
        <w:rPr>
          <w:rFonts w:hint="default" w:ascii="仿宋_GB2312" w:hAnsi="Times New Roman" w:cs="Times New Roman"/>
          <w:color w:val="auto"/>
          <w:highlight w:val="none"/>
          <w:lang w:val="en-US" w:eastAsia="zh-CN"/>
        </w:rPr>
        <w:t>/</w:t>
      </w:r>
      <w:r>
        <w:rPr>
          <w:rFonts w:hint="eastAsia" w:ascii="仿宋_GB2312" w:hAnsi="Times New Roman" w:cs="Times New Roman"/>
          <w:color w:val="auto"/>
          <w:highlight w:val="none"/>
          <w:lang w:val="en-US" w:eastAsia="zh-CN"/>
        </w:rPr>
        <w:t xml:space="preserve">白板）、环创材料、大型婴幼儿活动器材、收纳柜、婴幼儿桌椅，生活类、音乐类、美劳类、科学类、建构类、体育类、角色类等玩教具和绘本等，用于婴幼儿游戏活动、早期阅读、艺术启蒙、行为观察、托育机构支持性环境创设、风险排查等实训教学。 </w:t>
      </w:r>
    </w:p>
    <w:p w14:paraId="31FDEAD6">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w:t>
      </w:r>
      <w:r>
        <w:rPr>
          <w:rFonts w:hint="default" w:ascii="仿宋_GB2312" w:hAnsi="Times New Roman" w:cs="Times New Roman"/>
          <w:color w:val="auto"/>
          <w:highlight w:val="none"/>
          <w:lang w:val="en-US" w:eastAsia="zh-CN"/>
        </w:rPr>
        <w:t>3</w:t>
      </w:r>
      <w:r>
        <w:rPr>
          <w:rFonts w:hint="eastAsia" w:ascii="仿宋_GB2312" w:hAnsi="Times New Roman" w:cs="Times New Roman"/>
          <w:color w:val="auto"/>
          <w:highlight w:val="none"/>
          <w:lang w:val="en-US" w:eastAsia="zh-CN"/>
        </w:rPr>
        <w:t xml:space="preserve">）婴幼儿卫生保健实训室 </w:t>
      </w:r>
    </w:p>
    <w:p w14:paraId="22D7CD0C">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配备音视频播放设备、投影仪、婴幼儿躯体模型和各系统模型、婴幼儿心肺听诊触诊模型、标准乳牙模型、婴幼儿观察床、物品柜、消毒柜、身长体重测量仪、皮脂测量仪、软尺、体温计、血压计、耳温计、听诊器、常用药箱、常用医疗器械和常用药品、防噎管、清洁消毒用品等，用于婴幼儿身体构造、生长发育测量、生命体征测量以及托育机构清洁消毒等实训教学。 </w:t>
      </w:r>
    </w:p>
    <w:p w14:paraId="72910D1A">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w:t>
      </w:r>
      <w:r>
        <w:rPr>
          <w:rFonts w:hint="default" w:ascii="仿宋_GB2312" w:hAnsi="Times New Roman" w:cs="Times New Roman"/>
          <w:color w:val="auto"/>
          <w:highlight w:val="none"/>
          <w:lang w:val="en-US" w:eastAsia="zh-CN"/>
        </w:rPr>
        <w:t>4</w:t>
      </w:r>
      <w:r>
        <w:rPr>
          <w:rFonts w:hint="eastAsia" w:ascii="仿宋_GB2312" w:hAnsi="Times New Roman" w:cs="Times New Roman"/>
          <w:color w:val="auto"/>
          <w:highlight w:val="none"/>
          <w:lang w:val="en-US" w:eastAsia="zh-CN"/>
        </w:rPr>
        <w:t xml:space="preserve">）婴幼儿伤害处理实训室 </w:t>
      </w:r>
    </w:p>
    <w:p w14:paraId="0D246145">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配备音视频播放设备、投影仪、婴幼儿心肺复苏模型、创伤护理模型、婴幼儿观察床、物品柜、消毒柜、常用药箱、常用医疗器械及常用药品、医疗急救箱、氧气瓶、简易呼吸器、负压骨折临时固定装置、灭火器、灭火毯、烟感报警器、防烟防毒面具、强光手电、逃生绳、地震应急包、救生衣、防暴盾牌、防割手套、防暴棍等，用于婴幼儿心肺复苏、创伤救护、应急救援等实训教学。 </w:t>
      </w:r>
    </w:p>
    <w:p w14:paraId="5CF101F9">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w:t>
      </w:r>
      <w:r>
        <w:rPr>
          <w:rFonts w:hint="default" w:ascii="仿宋_GB2312" w:hAnsi="Times New Roman" w:cs="Times New Roman"/>
          <w:color w:val="auto"/>
          <w:highlight w:val="none"/>
          <w:lang w:val="en-US" w:eastAsia="zh-CN"/>
        </w:rPr>
        <w:t>5</w:t>
      </w:r>
      <w:r>
        <w:rPr>
          <w:rFonts w:hint="eastAsia" w:ascii="仿宋_GB2312" w:hAnsi="Times New Roman" w:cs="Times New Roman"/>
          <w:color w:val="auto"/>
          <w:highlight w:val="none"/>
          <w:lang w:val="en-US" w:eastAsia="zh-CN"/>
        </w:rPr>
        <w:t xml:space="preserve">）智慧托育服务与管理综合实训室 </w:t>
      </w:r>
    </w:p>
    <w:p w14:paraId="7A7876BC">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配备计算机或平板电脑、音视频播放设备、投影仪、茶几与沙发、布告栏（或黑</w:t>
      </w:r>
      <w:r>
        <w:rPr>
          <w:rFonts w:hint="default" w:ascii="仿宋_GB2312" w:hAnsi="Times New Roman" w:cs="Times New Roman"/>
          <w:color w:val="auto"/>
          <w:highlight w:val="none"/>
          <w:lang w:val="en-US" w:eastAsia="zh-CN"/>
        </w:rPr>
        <w:t>/</w:t>
      </w:r>
      <w:r>
        <w:rPr>
          <w:rFonts w:hint="eastAsia" w:ascii="仿宋_GB2312" w:hAnsi="Times New Roman" w:cs="Times New Roman"/>
          <w:color w:val="auto"/>
          <w:highlight w:val="none"/>
          <w:lang w:val="en-US" w:eastAsia="zh-CN"/>
        </w:rPr>
        <w:t>白板）、管理沙盘模拟教具、亲子活动器材、玩教具和绘本等，用于家园共育活动实施、亲子活动指导、托育服务与管理操练等实训教学。</w:t>
      </w:r>
    </w:p>
    <w:p w14:paraId="39850F35">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可结合实际建设综合性实训场所。 </w:t>
      </w:r>
    </w:p>
    <w:p w14:paraId="7698A63B">
      <w:pPr>
        <w:keepNext w:val="0"/>
        <w:keepLines w:val="0"/>
        <w:pageBreakBefore w:val="0"/>
        <w:shd w:val="clear"/>
        <w:kinsoku/>
        <w:wordWrap/>
        <w:overflowPunct w:val="0"/>
        <w:topLinePunct w:val="0"/>
        <w:autoSpaceDE/>
        <w:autoSpaceDN/>
        <w:bidi w:val="0"/>
        <w:adjustRightInd w:val="0"/>
        <w:ind w:firstLine="643" w:firstLineChars="200"/>
        <w:outlineLvl w:val="9"/>
        <w:rPr>
          <w:rFonts w:hint="eastAsia" w:ascii="仿宋_GB2312" w:hAnsi="Times New Roman" w:cs="Times New Roman"/>
          <w:b/>
          <w:bCs/>
          <w:color w:val="auto"/>
          <w:highlight w:val="none"/>
          <w:lang w:val="en-US" w:eastAsia="zh-CN"/>
        </w:rPr>
      </w:pPr>
      <w:r>
        <w:rPr>
          <w:rFonts w:hint="eastAsia" w:ascii="仿宋_GB2312" w:hAnsi="Times New Roman" w:cs="Times New Roman"/>
          <w:b/>
          <w:bCs/>
          <w:color w:val="auto"/>
          <w:highlight w:val="none"/>
          <w:lang w:val="en-US" w:eastAsia="zh-CN"/>
        </w:rPr>
        <w:t>3</w:t>
      </w:r>
      <w:r>
        <w:rPr>
          <w:rFonts w:hint="default" w:ascii="仿宋_GB2312" w:hAnsi="Times New Roman" w:cs="Times New Roman"/>
          <w:b/>
          <w:bCs/>
          <w:color w:val="auto"/>
          <w:highlight w:val="none"/>
          <w:lang w:val="en-US" w:eastAsia="zh-CN"/>
        </w:rPr>
        <w:t>.</w:t>
      </w:r>
      <w:r>
        <w:rPr>
          <w:rFonts w:hint="eastAsia" w:ascii="仿宋_GB2312" w:hAnsi="Times New Roman" w:cs="Times New Roman"/>
          <w:b/>
          <w:bCs/>
          <w:color w:val="auto"/>
          <w:highlight w:val="none"/>
          <w:lang w:val="en-US" w:eastAsia="zh-CN"/>
        </w:rPr>
        <w:t xml:space="preserve">实习场所基本要求 </w:t>
      </w:r>
    </w:p>
    <w:p w14:paraId="7645F0E8">
      <w:pPr>
        <w:keepNext w:val="0"/>
        <w:keepLines w:val="0"/>
        <w:pageBreakBefore w:val="0"/>
        <w:widowControl w:val="0"/>
        <w:shd w:val="clea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符合《职业学校学生实习管理规定》《职业学校校企合作促进办法》等对实习单位的有关要求，经实地考察后，确定合法经营、管理规范，实习条件完备且符合行业发展实际、符合安全生产法律法规要求，与学校建立稳定合作关系的单位成为实习基地，并签署学校、学生、实习单位三方协议。      </w:t>
      </w:r>
    </w:p>
    <w:p w14:paraId="2B0E8F3A">
      <w:pPr>
        <w:keepNext w:val="0"/>
        <w:keepLines w:val="0"/>
        <w:pageBreakBefore w:val="0"/>
        <w:widowControl w:val="0"/>
        <w:shd w:val="clear"/>
        <w:kinsoku/>
        <w:wordWrap/>
        <w:overflowPunct w:val="0"/>
        <w:topLinePunct w:val="0"/>
        <w:autoSpaceDE/>
        <w:autoSpaceDN/>
        <w:bidi w:val="0"/>
        <w:adjustRightInd w:val="0"/>
        <w:snapToGrid/>
        <w:ind w:firstLine="640" w:firstLineChars="200"/>
        <w:textAlignment w:val="auto"/>
        <w:outlineLvl w:val="9"/>
        <w:rPr>
          <w:rFonts w:hint="eastAsia" w:ascii="仿宋" w:hAnsi="仿宋" w:eastAsia="仿宋" w:cs="仿宋"/>
        </w:rPr>
      </w:pPr>
      <w:r>
        <w:rPr>
          <w:rFonts w:hint="eastAsia" w:ascii="仿宋_GB2312" w:hAnsi="Times New Roman" w:cs="Times New Roman"/>
          <w:color w:val="auto"/>
          <w:highlight w:val="none"/>
          <w:lang w:val="en-US" w:eastAsia="zh-CN"/>
        </w:rPr>
        <w:t>根据本专业人才培养的需要和未来就业需求，实习基地应能提供婴幼儿保育、卫生保健、机构管理等与专业对口的相关实习岗位，能涵盖当前相关行业发展的主流技术，可接 纳一定规模的学生实习；学校和实习单位双方共同制订实习计划，能够配备相应数量的指导教师对学生实习进行指导和管理，实习单位安排有经验的技术或管理人员担任实习指导 教师，开展专业教学和职业技能训练，完成实习质量评价，做好学生实习服务和管理工作，有保证实习学生日常工作、学习、生活的规章制度，有安全、保险保障，依法依规保障学生的基本权益。</w:t>
      </w:r>
    </w:p>
    <w:p w14:paraId="03AF04BE">
      <w:pPr>
        <w:keepNext w:val="0"/>
        <w:keepLines w:val="0"/>
        <w:pageBreakBefore w:val="0"/>
        <w:widowControl w:val="0"/>
        <w:numPr>
          <w:ilvl w:val="0"/>
          <w:numId w:val="4"/>
        </w:numPr>
        <w:shd w:val="clea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color w:val="auto"/>
          <w:highlight w:val="none"/>
          <w:lang w:eastAsia="zh-CN"/>
        </w:rPr>
      </w:pPr>
      <w:r>
        <w:rPr>
          <w:rFonts w:hint="eastAsia" w:ascii="楷体_GB2312" w:hAnsi="楷体_GB2312" w:eastAsia="楷体_GB2312" w:cs="楷体_GB2312"/>
          <w:b/>
          <w:bCs/>
          <w:color w:val="auto"/>
          <w:highlight w:val="none"/>
          <w:lang w:eastAsia="zh-CN"/>
        </w:rPr>
        <w:t>教学资源</w:t>
      </w:r>
    </w:p>
    <w:p w14:paraId="655808EE">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bookmarkStart w:id="6" w:name="_Hlk180514928"/>
      <w:r>
        <w:rPr>
          <w:rFonts w:hint="eastAsia" w:ascii="仿宋_GB2312" w:hAnsi="Times New Roman" w:cs="Times New Roman"/>
          <w:color w:val="auto"/>
          <w:highlight w:val="none"/>
          <w:lang w:val="en-US" w:eastAsia="zh-CN"/>
        </w:rPr>
        <w:t>主要包括能够满足正常的课程教学、实验实训所需的专业教室、实验室、实训室和实习</w:t>
      </w:r>
      <w:r>
        <w:rPr>
          <w:rFonts w:hint="eastAsia" w:ascii="仿宋_GB2312" w:cs="Times New Roman"/>
          <w:color w:val="auto"/>
          <w:highlight w:val="none"/>
          <w:lang w:val="en-US" w:eastAsia="zh-CN"/>
        </w:rPr>
        <w:t>。</w:t>
      </w:r>
    </w:p>
    <w:p w14:paraId="4A9C86A6">
      <w:pPr>
        <w:keepNext w:val="0"/>
        <w:keepLines w:val="0"/>
        <w:pageBreakBefore w:val="0"/>
        <w:shd w:val="clear"/>
        <w:kinsoku/>
        <w:wordWrap/>
        <w:overflowPunct w:val="0"/>
        <w:topLinePunct w:val="0"/>
        <w:autoSpaceDE/>
        <w:autoSpaceDN/>
        <w:bidi w:val="0"/>
        <w:adjustRightInd w:val="0"/>
        <w:ind w:firstLine="643" w:firstLineChars="200"/>
        <w:outlineLvl w:val="9"/>
        <w:rPr>
          <w:rFonts w:hint="eastAsia" w:ascii="仿宋_GB2312" w:hAnsi="Times New Roman" w:cs="Times New Roman"/>
          <w:b/>
          <w:bCs/>
          <w:color w:val="auto"/>
          <w:highlight w:val="none"/>
          <w:lang w:val="en-US" w:eastAsia="zh-CN"/>
        </w:rPr>
      </w:pPr>
      <w:r>
        <w:rPr>
          <w:rFonts w:hint="eastAsia" w:ascii="仿宋_GB2312" w:hAnsi="Times New Roman" w:cs="Times New Roman"/>
          <w:b/>
          <w:bCs/>
          <w:color w:val="auto"/>
          <w:highlight w:val="none"/>
          <w:lang w:val="en-US" w:eastAsia="zh-CN"/>
        </w:rPr>
        <w:t>1.实训基地。</w:t>
      </w:r>
    </w:p>
    <w:p w14:paraId="0C047FBC">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按照国家规定，经过规范程序选用教材，优先选用国家规划教材和国家优秀教材。专业课程教材应体现本行业新技术、新规范、新标准、新形态，并通过数字教材、活页式教材等多种方式进行动态更新。 </w:t>
      </w:r>
    </w:p>
    <w:p w14:paraId="725AE91B">
      <w:pPr>
        <w:keepNext w:val="0"/>
        <w:keepLines w:val="0"/>
        <w:pageBreakBefore w:val="0"/>
        <w:shd w:val="clear"/>
        <w:kinsoku/>
        <w:wordWrap/>
        <w:overflowPunct w:val="0"/>
        <w:topLinePunct w:val="0"/>
        <w:autoSpaceDE/>
        <w:autoSpaceDN/>
        <w:bidi w:val="0"/>
        <w:adjustRightInd w:val="0"/>
        <w:ind w:firstLine="643" w:firstLineChars="200"/>
        <w:outlineLvl w:val="9"/>
        <w:rPr>
          <w:rFonts w:hint="eastAsia" w:ascii="仿宋_GB2312" w:hAnsi="Times New Roman" w:cs="Times New Roman"/>
          <w:b/>
          <w:bCs/>
          <w:color w:val="auto"/>
          <w:highlight w:val="none"/>
          <w:lang w:val="en-US" w:eastAsia="zh-CN"/>
        </w:rPr>
      </w:pPr>
      <w:r>
        <w:rPr>
          <w:rFonts w:hint="default" w:ascii="仿宋_GB2312" w:hAnsi="Times New Roman" w:cs="Times New Roman"/>
          <w:b/>
          <w:bCs/>
          <w:color w:val="auto"/>
          <w:highlight w:val="none"/>
          <w:lang w:val="en-US" w:eastAsia="zh-CN"/>
        </w:rPr>
        <w:t>2.</w:t>
      </w:r>
      <w:r>
        <w:rPr>
          <w:rFonts w:hint="eastAsia" w:ascii="仿宋_GB2312" w:hAnsi="Times New Roman" w:cs="Times New Roman"/>
          <w:b/>
          <w:bCs/>
          <w:color w:val="auto"/>
          <w:highlight w:val="none"/>
          <w:lang w:val="en-US" w:eastAsia="zh-CN"/>
        </w:rPr>
        <w:t xml:space="preserve">图书文献配备基本要求 </w:t>
      </w:r>
    </w:p>
    <w:p w14:paraId="413EEEB8">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 xml:space="preserve">图书文献配备能满足人才培养、专业建设、教科研等工作的需要。专业类图书文献主要包括：托育服务行业政策法规、托育服务行业标准、婴幼儿发展、婴幼儿回应性照料、婴幼儿卫生保健、婴幼儿健康管理、婴幼儿急救、智慧托育与从业者信息素养等。及时配置新经济、新技术、新工艺、新材料、新管理方式、新服务方式等相关的图书文献。 </w:t>
      </w:r>
    </w:p>
    <w:p w14:paraId="4F587F60">
      <w:pPr>
        <w:keepNext w:val="0"/>
        <w:keepLines w:val="0"/>
        <w:pageBreakBefore w:val="0"/>
        <w:shd w:val="clear"/>
        <w:kinsoku/>
        <w:wordWrap/>
        <w:overflowPunct w:val="0"/>
        <w:topLinePunct w:val="0"/>
        <w:autoSpaceDE/>
        <w:autoSpaceDN/>
        <w:bidi w:val="0"/>
        <w:adjustRightInd w:val="0"/>
        <w:ind w:firstLine="643"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b/>
          <w:bCs/>
          <w:color w:val="auto"/>
          <w:highlight w:val="none"/>
          <w:lang w:val="en-US" w:eastAsia="zh-CN"/>
        </w:rPr>
        <w:t>3</w:t>
      </w:r>
      <w:r>
        <w:rPr>
          <w:rFonts w:hint="default" w:ascii="仿宋_GB2312" w:hAnsi="Times New Roman" w:cs="Times New Roman"/>
          <w:b/>
          <w:bCs/>
          <w:color w:val="auto"/>
          <w:highlight w:val="none"/>
          <w:lang w:val="en-US" w:eastAsia="zh-CN"/>
        </w:rPr>
        <w:t>. 数字教学资源配置基本要求</w:t>
      </w:r>
      <w:r>
        <w:rPr>
          <w:rFonts w:hint="default" w:ascii="仿宋_GB2312" w:hAnsi="Times New Roman" w:cs="Times New Roman"/>
          <w:color w:val="auto"/>
          <w:highlight w:val="none"/>
          <w:lang w:val="en-US" w:eastAsia="zh-CN"/>
        </w:rPr>
        <w:t xml:space="preserve"> </w:t>
      </w:r>
    </w:p>
    <w:p w14:paraId="576F0944">
      <w:pPr>
        <w:keepNext w:val="0"/>
        <w:keepLines w:val="0"/>
        <w:pageBreakBefore w:val="0"/>
        <w:shd w:val="clear"/>
        <w:kinsoku/>
        <w:wordWrap/>
        <w:overflowPunct w:val="0"/>
        <w:topLinePunct w:val="0"/>
        <w:autoSpaceDE/>
        <w:autoSpaceDN/>
        <w:bidi w:val="0"/>
        <w:adjustRightInd w:val="0"/>
        <w:ind w:firstLine="640" w:firstLineChars="200"/>
        <w:outlineLvl w:val="9"/>
      </w:pPr>
      <w:r>
        <w:rPr>
          <w:rFonts w:hint="eastAsia" w:ascii="仿宋_GB2312" w:hAnsi="Times New Roman" w:cs="Times New Roman"/>
          <w:color w:val="auto"/>
          <w:highlight w:val="none"/>
          <w:lang w:val="en-US" w:eastAsia="zh-CN"/>
        </w:rPr>
        <w:t>建设、配备与本专业有关的音视频素材、教学课件、数字化教学案例库、虚拟仿真软件等专业教学资源库，种类丰富、形式多样、使用便捷、动态更新、满足教学。</w:t>
      </w:r>
    </w:p>
    <w:p w14:paraId="6ABE7F3F">
      <w:pPr>
        <w:keepNext w:val="0"/>
        <w:keepLines w:val="0"/>
        <w:widowControl/>
        <w:suppressLineNumbers w:val="0"/>
        <w:jc w:val="left"/>
        <w:rPr>
          <w:rFonts w:ascii="宋体" w:hAnsi="宋体" w:eastAsia="宋体" w:cs="宋体"/>
          <w:color w:val="000000"/>
          <w:kern w:val="0"/>
          <w:sz w:val="21"/>
          <w:szCs w:val="21"/>
          <w:lang w:val="en-US" w:eastAsia="zh-CN" w:bidi="ar"/>
        </w:rPr>
      </w:pPr>
    </w:p>
    <w:bookmarkEnd w:id="6"/>
    <w:p w14:paraId="0DC774B8">
      <w:pPr>
        <w:keepNext w:val="0"/>
        <w:keepLines w:val="0"/>
        <w:pageBreakBefore w:val="0"/>
        <w:numPr>
          <w:ilvl w:val="0"/>
          <w:numId w:val="0"/>
        </w:numPr>
        <w:shd w:val="clea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color w:val="auto"/>
          <w:kern w:val="2"/>
          <w:sz w:val="32"/>
          <w:szCs w:val="22"/>
          <w:highlight w:val="none"/>
          <w:lang w:val="en-US" w:eastAsia="zh-CN" w:bidi="ar-SA"/>
        </w:rPr>
      </w:pPr>
      <w:r>
        <w:rPr>
          <w:rFonts w:hint="eastAsia" w:ascii="仿宋_GB2312" w:hAnsi="Times New Roman" w:eastAsia="仿宋_GB2312" w:cs="Times New Roman"/>
          <w:b/>
          <w:bCs/>
          <w:color w:val="auto"/>
          <w:kern w:val="2"/>
          <w:sz w:val="32"/>
          <w:szCs w:val="22"/>
          <w:highlight w:val="none"/>
          <w:lang w:val="en-US" w:eastAsia="zh-CN" w:bidi="ar-SA"/>
        </w:rPr>
        <w:t>1.教材选用基本要求</w:t>
      </w:r>
    </w:p>
    <w:p w14:paraId="7002E88B">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color w:val="auto"/>
          <w:highlight w:val="none"/>
          <w:lang w:val="en-US" w:eastAsia="zh-CN"/>
        </w:rPr>
      </w:pPr>
      <w:r>
        <w:rPr>
          <w:rFonts w:hint="eastAsia" w:ascii="仿宋_GB2312" w:hAnsi="Times New Roman" w:cs="Times New Roman"/>
          <w:color w:val="auto"/>
          <w:highlight w:val="none"/>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4B069678">
      <w:pPr>
        <w:keepNext w:val="0"/>
        <w:keepLines w:val="0"/>
        <w:pageBreakBefore w:val="0"/>
        <w:numPr>
          <w:ilvl w:val="0"/>
          <w:numId w:val="0"/>
        </w:numPr>
        <w:shd w:val="clea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color w:val="auto"/>
          <w:kern w:val="2"/>
          <w:sz w:val="32"/>
          <w:szCs w:val="22"/>
          <w:highlight w:val="none"/>
          <w:lang w:val="en-US" w:eastAsia="zh-CN" w:bidi="ar-SA"/>
        </w:rPr>
      </w:pPr>
      <w:r>
        <w:rPr>
          <w:rFonts w:hint="eastAsia" w:ascii="仿宋_GB2312" w:hAnsi="Times New Roman" w:eastAsia="仿宋_GB2312" w:cs="Times New Roman"/>
          <w:b/>
          <w:bCs/>
          <w:color w:val="auto"/>
          <w:kern w:val="2"/>
          <w:sz w:val="32"/>
          <w:szCs w:val="22"/>
          <w:highlight w:val="none"/>
          <w:lang w:val="en-US" w:eastAsia="zh-CN" w:bidi="ar-SA"/>
        </w:rPr>
        <w:t>2. 图书文献配备基本要求</w:t>
      </w:r>
    </w:p>
    <w:p w14:paraId="5898443E">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黑体" w:hAnsi="黑体" w:eastAsia="黑体" w:cs="黑体"/>
          <w:color w:val="auto"/>
          <w:highlight w:val="none"/>
          <w:lang w:eastAsia="zh-CN"/>
        </w:rPr>
      </w:pPr>
      <w:r>
        <w:rPr>
          <w:rFonts w:hint="eastAsia" w:ascii="仿宋_GB2312" w:hAnsi="Times New Roman" w:cs="Times New Roman"/>
          <w:color w:val="auto"/>
          <w:highlight w:val="none"/>
          <w:lang w:val="en-US" w:eastAsia="zh-CN"/>
        </w:rPr>
        <w:t>图书文献配备能满足人才培养、专业建设、教科研等工作的需要。专业类图书文献主要包括：通用设备制造业、专用设备制造业等行业中工业机器人相关政策法规、行业标准、技术规范、设计手册等。及时配置新经济、新技术、新工艺、新材料、新管理方式、新服务方式等相关的图书文献。</w:t>
      </w:r>
    </w:p>
    <w:p w14:paraId="5A35AA16">
      <w:pPr>
        <w:keepNext w:val="0"/>
        <w:keepLines w:val="0"/>
        <w:pageBreakBefore w:val="0"/>
        <w:numPr>
          <w:ilvl w:val="0"/>
          <w:numId w:val="0"/>
        </w:numPr>
        <w:shd w:val="clea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color w:val="auto"/>
          <w:kern w:val="2"/>
          <w:sz w:val="32"/>
          <w:szCs w:val="22"/>
          <w:highlight w:val="none"/>
          <w:lang w:val="en-US" w:eastAsia="zh-CN" w:bidi="ar-SA"/>
        </w:rPr>
      </w:pPr>
      <w:r>
        <w:rPr>
          <w:rFonts w:hint="eastAsia" w:ascii="仿宋_GB2312" w:hAnsi="Times New Roman" w:eastAsia="仿宋_GB2312" w:cs="Times New Roman"/>
          <w:b/>
          <w:bCs/>
          <w:color w:val="auto"/>
          <w:kern w:val="2"/>
          <w:sz w:val="32"/>
          <w:szCs w:val="22"/>
          <w:highlight w:val="none"/>
          <w:lang w:val="en-US" w:eastAsia="zh-CN" w:bidi="ar-SA"/>
        </w:rPr>
        <w:t>3.数字教学资源配置基本要求</w:t>
      </w:r>
    </w:p>
    <w:p w14:paraId="3209FA79">
      <w:pPr>
        <w:keepNext w:val="0"/>
        <w:keepLines w:val="0"/>
        <w:pageBreakBefore w:val="0"/>
        <w:shd w:val="clear"/>
        <w:kinsoku/>
        <w:wordWrap/>
        <w:overflowPunct w:val="0"/>
        <w:topLinePunct w:val="0"/>
        <w:autoSpaceDE/>
        <w:autoSpaceDN/>
        <w:bidi w:val="0"/>
        <w:adjustRightInd w:val="0"/>
        <w:ind w:firstLine="640" w:firstLineChars="200"/>
        <w:outlineLvl w:val="9"/>
        <w:rPr>
          <w:rFonts w:hint="default" w:ascii="黑体" w:hAnsi="黑体" w:eastAsia="黑体" w:cs="黑体"/>
          <w:color w:val="FF0000"/>
          <w:highlight w:val="none"/>
          <w:lang w:val="en-US" w:eastAsia="zh-CN"/>
        </w:rPr>
      </w:pPr>
      <w:r>
        <w:rPr>
          <w:rFonts w:hint="eastAsia" w:ascii="仿宋_GB2312" w:hAnsi="Times New Roman" w:cs="Times New Roman"/>
          <w:color w:val="auto"/>
          <w:highlight w:val="none"/>
          <w:shd w:val="clear"/>
          <w:lang w:val="en-US" w:eastAsia="zh-CN"/>
        </w:rPr>
        <w:t>建设、配备与本专业有关的音视频素材、教学课件、数字化教学案例库、虚拟仿真</w:t>
      </w:r>
      <w:r>
        <w:rPr>
          <w:rFonts w:hint="eastAsia" w:ascii="仿宋_GB2312" w:hAnsi="Times New Roman" w:cs="Times New Roman"/>
          <w:color w:val="auto"/>
          <w:highlight w:val="none"/>
          <w:lang w:val="en-US" w:eastAsia="zh-CN"/>
        </w:rPr>
        <w:t>软件等专业教学资源库，种类丰富、形式多样、使用便捷、动态更新、满足教学。</w:t>
      </w:r>
    </w:p>
    <w:p w14:paraId="1262D78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2B9AEB72">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2E4ADF5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0AC216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4CEEC7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42FE846D">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52344FD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45724A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5157167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5714F56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0A214EE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088CEE25">
      <w:pPr>
        <w:overflowPunct w:val="0"/>
        <w:adjustRightInd w:val="0"/>
        <w:ind w:firstLine="643" w:firstLineChars="200"/>
        <w:jc w:val="left"/>
        <w:rPr>
          <w:rFonts w:hint="eastAsia" w:ascii="黑体" w:hAnsi="黑体" w:eastAsia="黑体" w:cs="黑体"/>
          <w:b/>
          <w:bCs/>
        </w:rPr>
      </w:pPr>
      <w:r>
        <w:rPr>
          <w:rFonts w:hint="eastAsia" w:ascii="黑体" w:hAnsi="黑体" w:eastAsia="黑体" w:cs="黑体"/>
          <w:b/>
          <w:bCs/>
        </w:rPr>
        <w:t>九、毕业要求</w:t>
      </w:r>
    </w:p>
    <w:p w14:paraId="33A794CF">
      <w:pPr>
        <w:numPr>
          <w:ilvl w:val="0"/>
          <w:numId w:val="5"/>
        </w:numPr>
        <w:overflowPunct w:val="0"/>
        <w:adjustRightInd w:val="0"/>
        <w:ind w:firstLine="643" w:firstLineChars="200"/>
        <w:jc w:val="left"/>
        <w:rPr>
          <w:rFonts w:hint="eastAsia" w:ascii="楷体" w:hAnsi="楷体" w:eastAsia="楷体" w:cs="楷体"/>
          <w:b/>
          <w:bCs/>
        </w:rPr>
      </w:pPr>
      <w:r>
        <w:rPr>
          <w:rFonts w:hint="eastAsia" w:ascii="楷体" w:hAnsi="楷体" w:eastAsia="楷体" w:cs="楷体"/>
          <w:b/>
          <w:bCs/>
        </w:rPr>
        <w:t>学时要求</w:t>
      </w:r>
    </w:p>
    <w:p w14:paraId="3D167625">
      <w:pPr>
        <w:overflowPunct w:val="0"/>
        <w:adjustRightInd w:val="0"/>
        <w:ind w:firstLine="640" w:firstLineChars="200"/>
        <w:jc w:val="left"/>
        <w:rPr>
          <w:rFonts w:hint="eastAsia" w:ascii="仿宋" w:hAnsi="仿宋" w:eastAsia="仿宋" w:cs="仿宋"/>
        </w:rPr>
      </w:pPr>
      <w:r>
        <w:rPr>
          <w:rFonts w:hint="eastAsia" w:ascii="仿宋" w:hAnsi="仿宋" w:eastAsia="仿宋" w:cs="仿宋"/>
        </w:rPr>
        <w:t>本专业总学时4614，其中必</w:t>
      </w:r>
      <w:bookmarkStart w:id="7" w:name="_GoBack"/>
      <w:bookmarkEnd w:id="7"/>
      <w:r>
        <w:rPr>
          <w:rFonts w:hint="eastAsia" w:ascii="仿宋" w:hAnsi="仿宋" w:eastAsia="仿宋" w:cs="仿宋"/>
        </w:rPr>
        <w:t>修课学时4102，选修课学时512，学时未修满不予毕业。</w:t>
      </w:r>
    </w:p>
    <w:p w14:paraId="32941018">
      <w:pPr>
        <w:numPr>
          <w:ilvl w:val="0"/>
          <w:numId w:val="5"/>
        </w:numPr>
        <w:overflowPunct w:val="0"/>
        <w:adjustRightInd w:val="0"/>
        <w:ind w:firstLine="643" w:firstLineChars="200"/>
        <w:jc w:val="left"/>
        <w:rPr>
          <w:rFonts w:hint="eastAsia" w:ascii="楷体" w:hAnsi="楷体" w:eastAsia="楷体" w:cs="楷体"/>
          <w:b/>
          <w:bCs/>
        </w:rPr>
      </w:pPr>
      <w:r>
        <w:rPr>
          <w:rFonts w:hint="eastAsia" w:ascii="楷体" w:hAnsi="楷体" w:eastAsia="楷体" w:cs="楷体"/>
          <w:b/>
          <w:bCs/>
        </w:rPr>
        <w:t>学分要求</w:t>
      </w:r>
    </w:p>
    <w:p w14:paraId="67C0F7AC">
      <w:pPr>
        <w:overflowPunct w:val="0"/>
        <w:adjustRightInd w:val="0"/>
        <w:ind w:firstLine="640" w:firstLineChars="200"/>
        <w:jc w:val="left"/>
        <w:rPr>
          <w:rFonts w:hint="eastAsia" w:ascii="仿宋" w:hAnsi="仿宋" w:eastAsia="仿宋" w:cs="仿宋"/>
        </w:rPr>
      </w:pPr>
      <w:r>
        <w:rPr>
          <w:rFonts w:hint="eastAsia" w:ascii="仿宋" w:hAnsi="仿宋" w:eastAsia="仿宋" w:cs="仿宋"/>
        </w:rPr>
        <w:t>本专业总学分26</w:t>
      </w:r>
      <w:r>
        <w:rPr>
          <w:rFonts w:hint="eastAsia" w:ascii="仿宋" w:hAnsi="仿宋" w:eastAsia="仿宋" w:cs="仿宋"/>
          <w:lang w:val="en-US" w:eastAsia="zh-CN"/>
        </w:rPr>
        <w:t>4</w:t>
      </w:r>
      <w:r>
        <w:rPr>
          <w:rFonts w:hint="eastAsia" w:ascii="仿宋" w:hAnsi="仿宋" w:eastAsia="仿宋" w:cs="仿宋"/>
        </w:rPr>
        <w:t>分，其中必修课学分236分，选修课</w:t>
      </w:r>
      <w:r>
        <w:rPr>
          <w:rFonts w:hint="eastAsia" w:ascii="仿宋" w:hAnsi="仿宋" w:eastAsia="仿宋" w:cs="仿宋"/>
          <w:lang w:val="en-US" w:eastAsia="zh-CN"/>
        </w:rPr>
        <w:t>28</w:t>
      </w:r>
      <w:r>
        <w:rPr>
          <w:rFonts w:hint="eastAsia" w:ascii="仿宋" w:hAnsi="仿宋" w:eastAsia="仿宋" w:cs="仿宋"/>
        </w:rPr>
        <w:t>分，学分未修满不予毕业。</w:t>
      </w:r>
    </w:p>
    <w:p w14:paraId="0B05DF84">
      <w:pPr>
        <w:ind w:firstLine="640" w:firstLineChars="200"/>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2FAB92-8C53-4FDE-8B82-5D2F2D0206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9B1B7DF8-B592-4CF6-A7E3-C56CEAE7D75B}"/>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3" w:fontKey="{DC0664F3-102A-4FC3-8A82-C40610331E18}"/>
  </w:font>
  <w:font w:name="仿宋">
    <w:panose1 w:val="02010609060101010101"/>
    <w:charset w:val="86"/>
    <w:family w:val="modern"/>
    <w:pitch w:val="default"/>
    <w:sig w:usb0="800002BF" w:usb1="38CF7CFA" w:usb2="00000016" w:usb3="00000000" w:csb0="00040001" w:csb1="00000000"/>
    <w:embedRegular r:id="rId4" w:fontKey="{B5A3C0B6-50F8-444D-A60B-AB64DA9D473E}"/>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公文小标宋">
    <w:panose1 w:val="02000500000000000000"/>
    <w:charset w:val="86"/>
    <w:family w:val="auto"/>
    <w:pitch w:val="default"/>
    <w:sig w:usb0="A00002BF" w:usb1="38CF7CFA" w:usb2="00000016" w:usb3="00000000" w:csb0="00040001" w:csb1="00000000"/>
    <w:embedRegular r:id="rId5" w:fontKey="{A731B3F5-F0D0-4E1E-9E5C-4B37ED13B7D5}"/>
  </w:font>
  <w:font w:name="楷体_GB2312">
    <w:altName w:val="楷体"/>
    <w:panose1 w:val="00000000000000000000"/>
    <w:charset w:val="86"/>
    <w:family w:val="auto"/>
    <w:pitch w:val="default"/>
    <w:sig w:usb0="00000000" w:usb1="00000000" w:usb2="00000000" w:usb3="00000000" w:csb0="00040000" w:csb1="00000000"/>
    <w:embedRegular r:id="rId6" w:fontKey="{D4E97C09-1207-494B-BE11-98375BED2361}"/>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69132"/>
    <w:multiLevelType w:val="singleLevel"/>
    <w:tmpl w:val="8A369132"/>
    <w:lvl w:ilvl="0" w:tentative="0">
      <w:start w:val="1"/>
      <w:numFmt w:val="chineseCounting"/>
      <w:suff w:val="nothing"/>
      <w:lvlText w:val="（%1）"/>
      <w:lvlJc w:val="left"/>
      <w:rPr>
        <w:rFonts w:hint="eastAsia"/>
      </w:rPr>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FFC7FB3E"/>
    <w:multiLevelType w:val="singleLevel"/>
    <w:tmpl w:val="FFC7FB3E"/>
    <w:lvl w:ilvl="0" w:tentative="0">
      <w:start w:val="3"/>
      <w:numFmt w:val="chineseCounting"/>
      <w:suff w:val="nothing"/>
      <w:lvlText w:val="（%1）"/>
      <w:lvlJc w:val="left"/>
      <w:rPr>
        <w:rFonts w:hint="eastAsia"/>
      </w:rPr>
    </w:lvl>
  </w:abstractNum>
  <w:abstractNum w:abstractNumId="3">
    <w:nsid w:val="35A6F704"/>
    <w:multiLevelType w:val="singleLevel"/>
    <w:tmpl w:val="35A6F704"/>
    <w:lvl w:ilvl="0" w:tentative="0">
      <w:start w:val="1"/>
      <w:numFmt w:val="chineseCounting"/>
      <w:suff w:val="nothing"/>
      <w:lvlText w:val="（%1）"/>
      <w:lvlJc w:val="left"/>
      <w:rPr>
        <w:rFonts w:hint="eastAsia"/>
      </w:rPr>
    </w:lvl>
  </w:abstractNum>
  <w:abstractNum w:abstractNumId="4">
    <w:nsid w:val="78161E80"/>
    <w:multiLevelType w:val="singleLevel"/>
    <w:tmpl w:val="78161E80"/>
    <w:lvl w:ilvl="0" w:tentative="0">
      <w:start w:val="12"/>
      <w:numFmt w:val="decimal"/>
      <w:suff w:val="nothing"/>
      <w:lvlText w:val="（%1）"/>
      <w:lvlJc w:val="left"/>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01381A"/>
    <w:rsid w:val="00097584"/>
    <w:rsid w:val="000E6506"/>
    <w:rsid w:val="000F0506"/>
    <w:rsid w:val="000F6AF1"/>
    <w:rsid w:val="001015CD"/>
    <w:rsid w:val="001269AE"/>
    <w:rsid w:val="00170B9A"/>
    <w:rsid w:val="00172A27"/>
    <w:rsid w:val="001F4DB9"/>
    <w:rsid w:val="00211D2D"/>
    <w:rsid w:val="002819DF"/>
    <w:rsid w:val="002F1EA4"/>
    <w:rsid w:val="00363825"/>
    <w:rsid w:val="003901C6"/>
    <w:rsid w:val="003E480A"/>
    <w:rsid w:val="004427D5"/>
    <w:rsid w:val="004C718D"/>
    <w:rsid w:val="005230BC"/>
    <w:rsid w:val="00546B9E"/>
    <w:rsid w:val="005947E6"/>
    <w:rsid w:val="00635802"/>
    <w:rsid w:val="00643056"/>
    <w:rsid w:val="0065767C"/>
    <w:rsid w:val="00663E51"/>
    <w:rsid w:val="00686F7E"/>
    <w:rsid w:val="006C22DD"/>
    <w:rsid w:val="0071293C"/>
    <w:rsid w:val="0076693E"/>
    <w:rsid w:val="007E7842"/>
    <w:rsid w:val="008522C7"/>
    <w:rsid w:val="008A14F2"/>
    <w:rsid w:val="00914957"/>
    <w:rsid w:val="00992E2C"/>
    <w:rsid w:val="00A01700"/>
    <w:rsid w:val="00A03D33"/>
    <w:rsid w:val="00A0416A"/>
    <w:rsid w:val="00A10D4D"/>
    <w:rsid w:val="00A37DE4"/>
    <w:rsid w:val="00AB3E20"/>
    <w:rsid w:val="00AC21BC"/>
    <w:rsid w:val="00BB73D0"/>
    <w:rsid w:val="00BE6838"/>
    <w:rsid w:val="00C06EF1"/>
    <w:rsid w:val="00C1087B"/>
    <w:rsid w:val="00C95318"/>
    <w:rsid w:val="00CF6C83"/>
    <w:rsid w:val="00D87810"/>
    <w:rsid w:val="00E50F2A"/>
    <w:rsid w:val="00E61C7E"/>
    <w:rsid w:val="00F315AA"/>
    <w:rsid w:val="00F32F19"/>
    <w:rsid w:val="00F64C4A"/>
    <w:rsid w:val="00FB270C"/>
    <w:rsid w:val="00FB5A57"/>
    <w:rsid w:val="00FB7603"/>
    <w:rsid w:val="010158D6"/>
    <w:rsid w:val="012224F8"/>
    <w:rsid w:val="015A1987"/>
    <w:rsid w:val="015D50E0"/>
    <w:rsid w:val="01E0373D"/>
    <w:rsid w:val="02191B93"/>
    <w:rsid w:val="022A1D94"/>
    <w:rsid w:val="02310B96"/>
    <w:rsid w:val="0239296B"/>
    <w:rsid w:val="023E04DB"/>
    <w:rsid w:val="03060F81"/>
    <w:rsid w:val="03372BF7"/>
    <w:rsid w:val="0374413D"/>
    <w:rsid w:val="038C71E9"/>
    <w:rsid w:val="038D072B"/>
    <w:rsid w:val="047407AB"/>
    <w:rsid w:val="047E5D41"/>
    <w:rsid w:val="04B35139"/>
    <w:rsid w:val="05660343"/>
    <w:rsid w:val="05C87F3A"/>
    <w:rsid w:val="05F7392B"/>
    <w:rsid w:val="06262826"/>
    <w:rsid w:val="062736E9"/>
    <w:rsid w:val="06277B8D"/>
    <w:rsid w:val="06D80B10"/>
    <w:rsid w:val="074260FD"/>
    <w:rsid w:val="077C22D7"/>
    <w:rsid w:val="0813553A"/>
    <w:rsid w:val="085B1D6F"/>
    <w:rsid w:val="08A7404B"/>
    <w:rsid w:val="097C01EF"/>
    <w:rsid w:val="099B5E45"/>
    <w:rsid w:val="09AA1703"/>
    <w:rsid w:val="09B81FF8"/>
    <w:rsid w:val="09B83043"/>
    <w:rsid w:val="09EE5553"/>
    <w:rsid w:val="0A7B0438"/>
    <w:rsid w:val="0AC459AA"/>
    <w:rsid w:val="0BAD211A"/>
    <w:rsid w:val="0BCA0150"/>
    <w:rsid w:val="0BD14403"/>
    <w:rsid w:val="0BFF3B0E"/>
    <w:rsid w:val="0C587883"/>
    <w:rsid w:val="0C851169"/>
    <w:rsid w:val="0C9A1D5D"/>
    <w:rsid w:val="0CD45F3C"/>
    <w:rsid w:val="0DC12675"/>
    <w:rsid w:val="0DE36E13"/>
    <w:rsid w:val="0DFE5677"/>
    <w:rsid w:val="0E1C39FC"/>
    <w:rsid w:val="0E5C5EAE"/>
    <w:rsid w:val="0E6B3C77"/>
    <w:rsid w:val="0E76520D"/>
    <w:rsid w:val="0EE3661B"/>
    <w:rsid w:val="0F564903"/>
    <w:rsid w:val="0FF22FB9"/>
    <w:rsid w:val="10060813"/>
    <w:rsid w:val="102223FD"/>
    <w:rsid w:val="104B091B"/>
    <w:rsid w:val="10BA54BD"/>
    <w:rsid w:val="11064DC4"/>
    <w:rsid w:val="114208BC"/>
    <w:rsid w:val="11877731"/>
    <w:rsid w:val="11986323"/>
    <w:rsid w:val="11996010"/>
    <w:rsid w:val="11C6418C"/>
    <w:rsid w:val="11E46932"/>
    <w:rsid w:val="120B0362"/>
    <w:rsid w:val="120D40DA"/>
    <w:rsid w:val="12547EAC"/>
    <w:rsid w:val="12C10A21"/>
    <w:rsid w:val="12F54B98"/>
    <w:rsid w:val="13456A27"/>
    <w:rsid w:val="138B04B0"/>
    <w:rsid w:val="13C976AE"/>
    <w:rsid w:val="13CB7DA9"/>
    <w:rsid w:val="13D9789A"/>
    <w:rsid w:val="13F05A62"/>
    <w:rsid w:val="140744D8"/>
    <w:rsid w:val="14107EB2"/>
    <w:rsid w:val="143106DC"/>
    <w:rsid w:val="14AA3E63"/>
    <w:rsid w:val="14C5670D"/>
    <w:rsid w:val="15126B7C"/>
    <w:rsid w:val="154C5373"/>
    <w:rsid w:val="15BD7BC5"/>
    <w:rsid w:val="16886A96"/>
    <w:rsid w:val="16CA7F95"/>
    <w:rsid w:val="16F669F1"/>
    <w:rsid w:val="172A1DE8"/>
    <w:rsid w:val="173F7DA8"/>
    <w:rsid w:val="179B3DA5"/>
    <w:rsid w:val="18607150"/>
    <w:rsid w:val="188D1AD1"/>
    <w:rsid w:val="18DD70F5"/>
    <w:rsid w:val="19061883"/>
    <w:rsid w:val="19600F94"/>
    <w:rsid w:val="1966231E"/>
    <w:rsid w:val="19904ED2"/>
    <w:rsid w:val="19F316BA"/>
    <w:rsid w:val="1A267164"/>
    <w:rsid w:val="1A2C31DC"/>
    <w:rsid w:val="1A321046"/>
    <w:rsid w:val="1A671B25"/>
    <w:rsid w:val="1A6E76E0"/>
    <w:rsid w:val="1A8962C8"/>
    <w:rsid w:val="1A9B173B"/>
    <w:rsid w:val="1B8F49C6"/>
    <w:rsid w:val="1C01741A"/>
    <w:rsid w:val="1C273FEB"/>
    <w:rsid w:val="1C417A87"/>
    <w:rsid w:val="1C7A2A16"/>
    <w:rsid w:val="1D212ADB"/>
    <w:rsid w:val="1D243E69"/>
    <w:rsid w:val="1D5346C1"/>
    <w:rsid w:val="1D5D471C"/>
    <w:rsid w:val="1D8761FF"/>
    <w:rsid w:val="1DAE09D1"/>
    <w:rsid w:val="1DE17CD6"/>
    <w:rsid w:val="1DF65FD3"/>
    <w:rsid w:val="1E0326B9"/>
    <w:rsid w:val="1E1C53C5"/>
    <w:rsid w:val="1E5E181A"/>
    <w:rsid w:val="1E9C3757"/>
    <w:rsid w:val="1EFD252E"/>
    <w:rsid w:val="1F340F2B"/>
    <w:rsid w:val="1F882656"/>
    <w:rsid w:val="20772F0E"/>
    <w:rsid w:val="210D26FB"/>
    <w:rsid w:val="21464F13"/>
    <w:rsid w:val="21953DB5"/>
    <w:rsid w:val="21AE4866"/>
    <w:rsid w:val="21CB27F1"/>
    <w:rsid w:val="21D918C4"/>
    <w:rsid w:val="22C829A6"/>
    <w:rsid w:val="2333514E"/>
    <w:rsid w:val="23492A98"/>
    <w:rsid w:val="23A77F90"/>
    <w:rsid w:val="23D82BE9"/>
    <w:rsid w:val="23F86AF7"/>
    <w:rsid w:val="24101813"/>
    <w:rsid w:val="24463799"/>
    <w:rsid w:val="24823F7D"/>
    <w:rsid w:val="24B20E9B"/>
    <w:rsid w:val="24CE6272"/>
    <w:rsid w:val="24E26007"/>
    <w:rsid w:val="25072C0B"/>
    <w:rsid w:val="25135161"/>
    <w:rsid w:val="257F27A2"/>
    <w:rsid w:val="259154A6"/>
    <w:rsid w:val="25D6438C"/>
    <w:rsid w:val="25E35426"/>
    <w:rsid w:val="26045C60"/>
    <w:rsid w:val="263F63D5"/>
    <w:rsid w:val="268C0615"/>
    <w:rsid w:val="26F0351F"/>
    <w:rsid w:val="27326D5B"/>
    <w:rsid w:val="27363334"/>
    <w:rsid w:val="27764078"/>
    <w:rsid w:val="27A42993"/>
    <w:rsid w:val="27BC50F8"/>
    <w:rsid w:val="282C6B05"/>
    <w:rsid w:val="287140DC"/>
    <w:rsid w:val="28F96F35"/>
    <w:rsid w:val="29011282"/>
    <w:rsid w:val="29037B7A"/>
    <w:rsid w:val="29161C3B"/>
    <w:rsid w:val="29A2565C"/>
    <w:rsid w:val="2A2D57AD"/>
    <w:rsid w:val="2A8F130C"/>
    <w:rsid w:val="2AD046F8"/>
    <w:rsid w:val="2AE566D6"/>
    <w:rsid w:val="2B316E3C"/>
    <w:rsid w:val="2B356FF3"/>
    <w:rsid w:val="2B6E42C9"/>
    <w:rsid w:val="2B743120"/>
    <w:rsid w:val="2B775C5C"/>
    <w:rsid w:val="2B797FCD"/>
    <w:rsid w:val="2B7F799F"/>
    <w:rsid w:val="2BDA2E28"/>
    <w:rsid w:val="2C0C5DB9"/>
    <w:rsid w:val="2C611446"/>
    <w:rsid w:val="2C7E7C57"/>
    <w:rsid w:val="2CB46EBD"/>
    <w:rsid w:val="2CD260FA"/>
    <w:rsid w:val="2CE46B41"/>
    <w:rsid w:val="2E020414"/>
    <w:rsid w:val="2E310CF9"/>
    <w:rsid w:val="2E314855"/>
    <w:rsid w:val="2ECD6C74"/>
    <w:rsid w:val="2EEA0214"/>
    <w:rsid w:val="2F2C4DCE"/>
    <w:rsid w:val="2F37641D"/>
    <w:rsid w:val="2F42642C"/>
    <w:rsid w:val="2F496394"/>
    <w:rsid w:val="2F727962"/>
    <w:rsid w:val="2FFD4B09"/>
    <w:rsid w:val="30297EDA"/>
    <w:rsid w:val="304E5B92"/>
    <w:rsid w:val="30670569"/>
    <w:rsid w:val="30843362"/>
    <w:rsid w:val="30BA6708"/>
    <w:rsid w:val="32190033"/>
    <w:rsid w:val="3290084A"/>
    <w:rsid w:val="32A5412F"/>
    <w:rsid w:val="331022D3"/>
    <w:rsid w:val="33477A78"/>
    <w:rsid w:val="33BE302F"/>
    <w:rsid w:val="34294FC2"/>
    <w:rsid w:val="3476207C"/>
    <w:rsid w:val="34E47C6D"/>
    <w:rsid w:val="354D6418"/>
    <w:rsid w:val="35C62E9B"/>
    <w:rsid w:val="36161B62"/>
    <w:rsid w:val="36447609"/>
    <w:rsid w:val="365319B0"/>
    <w:rsid w:val="36F54FB9"/>
    <w:rsid w:val="3747333B"/>
    <w:rsid w:val="377558B3"/>
    <w:rsid w:val="37B7570B"/>
    <w:rsid w:val="38685317"/>
    <w:rsid w:val="38991974"/>
    <w:rsid w:val="38B62143"/>
    <w:rsid w:val="38D43E1A"/>
    <w:rsid w:val="38F52C52"/>
    <w:rsid w:val="38FB4E95"/>
    <w:rsid w:val="392A6A70"/>
    <w:rsid w:val="3986798D"/>
    <w:rsid w:val="39B5458C"/>
    <w:rsid w:val="39B933D1"/>
    <w:rsid w:val="39D37AEE"/>
    <w:rsid w:val="39FA6443"/>
    <w:rsid w:val="3A0472C2"/>
    <w:rsid w:val="3A3C7179"/>
    <w:rsid w:val="3A4148C7"/>
    <w:rsid w:val="3A685AA2"/>
    <w:rsid w:val="3ABE4BCF"/>
    <w:rsid w:val="3AD214A0"/>
    <w:rsid w:val="3B44206B"/>
    <w:rsid w:val="3BF07AFD"/>
    <w:rsid w:val="3D0B1BDC"/>
    <w:rsid w:val="3D235681"/>
    <w:rsid w:val="3D4F4ED5"/>
    <w:rsid w:val="3D627986"/>
    <w:rsid w:val="3DAF4108"/>
    <w:rsid w:val="3DCD33AE"/>
    <w:rsid w:val="3E4D56DB"/>
    <w:rsid w:val="3E6A2955"/>
    <w:rsid w:val="3EEF0540"/>
    <w:rsid w:val="3F1F2D1F"/>
    <w:rsid w:val="3F2F6BCA"/>
    <w:rsid w:val="3FE2019B"/>
    <w:rsid w:val="40173CB6"/>
    <w:rsid w:val="402E2195"/>
    <w:rsid w:val="405E2404"/>
    <w:rsid w:val="40C94C89"/>
    <w:rsid w:val="40CD2B03"/>
    <w:rsid w:val="40D65444"/>
    <w:rsid w:val="411E0E78"/>
    <w:rsid w:val="415015B9"/>
    <w:rsid w:val="41AD1B11"/>
    <w:rsid w:val="41B30E75"/>
    <w:rsid w:val="41BA303A"/>
    <w:rsid w:val="41C52045"/>
    <w:rsid w:val="42245F5D"/>
    <w:rsid w:val="42257CFA"/>
    <w:rsid w:val="424E1A22"/>
    <w:rsid w:val="42AF1602"/>
    <w:rsid w:val="42C83B8D"/>
    <w:rsid w:val="42DC527F"/>
    <w:rsid w:val="42EE2D93"/>
    <w:rsid w:val="430572D9"/>
    <w:rsid w:val="43655275"/>
    <w:rsid w:val="43881B76"/>
    <w:rsid w:val="43A56989"/>
    <w:rsid w:val="43BF4B1E"/>
    <w:rsid w:val="440B3168"/>
    <w:rsid w:val="442C2570"/>
    <w:rsid w:val="445F1CC4"/>
    <w:rsid w:val="4517110E"/>
    <w:rsid w:val="45244E7C"/>
    <w:rsid w:val="4597723C"/>
    <w:rsid w:val="45BC6CA2"/>
    <w:rsid w:val="45C3066E"/>
    <w:rsid w:val="460A2A17"/>
    <w:rsid w:val="462211FB"/>
    <w:rsid w:val="465A19C0"/>
    <w:rsid w:val="468B7407"/>
    <w:rsid w:val="46E82862"/>
    <w:rsid w:val="46FE3360"/>
    <w:rsid w:val="47433201"/>
    <w:rsid w:val="47D36563"/>
    <w:rsid w:val="47D41B64"/>
    <w:rsid w:val="493535ED"/>
    <w:rsid w:val="493D6C54"/>
    <w:rsid w:val="49402257"/>
    <w:rsid w:val="49477B3A"/>
    <w:rsid w:val="49807E6F"/>
    <w:rsid w:val="49C92560"/>
    <w:rsid w:val="4A286FFC"/>
    <w:rsid w:val="4A6F2535"/>
    <w:rsid w:val="4A8F086C"/>
    <w:rsid w:val="4B0E2CDE"/>
    <w:rsid w:val="4B4614E8"/>
    <w:rsid w:val="4BEE4070"/>
    <w:rsid w:val="4C004000"/>
    <w:rsid w:val="4C084E57"/>
    <w:rsid w:val="4C427551"/>
    <w:rsid w:val="4C5B4D0D"/>
    <w:rsid w:val="4C640930"/>
    <w:rsid w:val="4C8D1398"/>
    <w:rsid w:val="4CA33F67"/>
    <w:rsid w:val="4D1A4ED3"/>
    <w:rsid w:val="4D302450"/>
    <w:rsid w:val="4D407471"/>
    <w:rsid w:val="4E4D7031"/>
    <w:rsid w:val="4E556430"/>
    <w:rsid w:val="4E620FCD"/>
    <w:rsid w:val="4E854A1D"/>
    <w:rsid w:val="4EA60109"/>
    <w:rsid w:val="4EEA4880"/>
    <w:rsid w:val="4F585C8E"/>
    <w:rsid w:val="4F701229"/>
    <w:rsid w:val="4FE94B38"/>
    <w:rsid w:val="509213D2"/>
    <w:rsid w:val="50A01365"/>
    <w:rsid w:val="50DA4AED"/>
    <w:rsid w:val="50E33C7D"/>
    <w:rsid w:val="515801C7"/>
    <w:rsid w:val="51BB2504"/>
    <w:rsid w:val="522307D5"/>
    <w:rsid w:val="524C6DBA"/>
    <w:rsid w:val="526A08D2"/>
    <w:rsid w:val="52842834"/>
    <w:rsid w:val="5292579D"/>
    <w:rsid w:val="53133DEE"/>
    <w:rsid w:val="531B0A73"/>
    <w:rsid w:val="53326DD8"/>
    <w:rsid w:val="536B2FE6"/>
    <w:rsid w:val="540B5C9B"/>
    <w:rsid w:val="54814026"/>
    <w:rsid w:val="54AB2899"/>
    <w:rsid w:val="54AE4D3C"/>
    <w:rsid w:val="54BC281B"/>
    <w:rsid w:val="55235853"/>
    <w:rsid w:val="553B4087"/>
    <w:rsid w:val="554D1A31"/>
    <w:rsid w:val="557A3EC0"/>
    <w:rsid w:val="55BF0E8C"/>
    <w:rsid w:val="55C86E13"/>
    <w:rsid w:val="55CE1AA9"/>
    <w:rsid w:val="56DB3766"/>
    <w:rsid w:val="56E46059"/>
    <w:rsid w:val="56E7178E"/>
    <w:rsid w:val="56ED7603"/>
    <w:rsid w:val="56FA762A"/>
    <w:rsid w:val="575F3087"/>
    <w:rsid w:val="58F02C43"/>
    <w:rsid w:val="59023221"/>
    <w:rsid w:val="591F15CA"/>
    <w:rsid w:val="592536EE"/>
    <w:rsid w:val="5958290B"/>
    <w:rsid w:val="595C637A"/>
    <w:rsid w:val="596F2D8B"/>
    <w:rsid w:val="59814F23"/>
    <w:rsid w:val="5A1645DA"/>
    <w:rsid w:val="5A845C27"/>
    <w:rsid w:val="5C115B42"/>
    <w:rsid w:val="5C91458D"/>
    <w:rsid w:val="5CCD7D24"/>
    <w:rsid w:val="5CD83C6F"/>
    <w:rsid w:val="5CFC3DED"/>
    <w:rsid w:val="5DB46785"/>
    <w:rsid w:val="5E5977EA"/>
    <w:rsid w:val="5E931360"/>
    <w:rsid w:val="5F1C6A9B"/>
    <w:rsid w:val="5FC02251"/>
    <w:rsid w:val="6017749F"/>
    <w:rsid w:val="601E6BB2"/>
    <w:rsid w:val="6060013F"/>
    <w:rsid w:val="60E24467"/>
    <w:rsid w:val="610B0DB2"/>
    <w:rsid w:val="613F0A5C"/>
    <w:rsid w:val="61742A83"/>
    <w:rsid w:val="619B6794"/>
    <w:rsid w:val="61EC6F36"/>
    <w:rsid w:val="62650BE5"/>
    <w:rsid w:val="62893D35"/>
    <w:rsid w:val="62F12F83"/>
    <w:rsid w:val="62FA0E4E"/>
    <w:rsid w:val="633640E0"/>
    <w:rsid w:val="634611D8"/>
    <w:rsid w:val="63627A9D"/>
    <w:rsid w:val="63F57AF7"/>
    <w:rsid w:val="641238A9"/>
    <w:rsid w:val="64EF2799"/>
    <w:rsid w:val="652854D9"/>
    <w:rsid w:val="65B32B30"/>
    <w:rsid w:val="65E41BD1"/>
    <w:rsid w:val="660304E3"/>
    <w:rsid w:val="662E01FD"/>
    <w:rsid w:val="66F0778C"/>
    <w:rsid w:val="674C5428"/>
    <w:rsid w:val="67BF3619"/>
    <w:rsid w:val="67E0736C"/>
    <w:rsid w:val="67F00D02"/>
    <w:rsid w:val="68032ACF"/>
    <w:rsid w:val="681459FB"/>
    <w:rsid w:val="68170047"/>
    <w:rsid w:val="68620403"/>
    <w:rsid w:val="68BF2482"/>
    <w:rsid w:val="695928D6"/>
    <w:rsid w:val="6A1B7F5A"/>
    <w:rsid w:val="6A1F7D14"/>
    <w:rsid w:val="6A38073E"/>
    <w:rsid w:val="6A5405E4"/>
    <w:rsid w:val="6A67712E"/>
    <w:rsid w:val="6A870447"/>
    <w:rsid w:val="6AD04092"/>
    <w:rsid w:val="6AEE69E5"/>
    <w:rsid w:val="6B1D005F"/>
    <w:rsid w:val="6B693E65"/>
    <w:rsid w:val="6B985938"/>
    <w:rsid w:val="6C215B15"/>
    <w:rsid w:val="6C4038DA"/>
    <w:rsid w:val="6CDC718B"/>
    <w:rsid w:val="6D0B038C"/>
    <w:rsid w:val="6D9A53C8"/>
    <w:rsid w:val="6DA1597C"/>
    <w:rsid w:val="6DCB1036"/>
    <w:rsid w:val="6E0C43BB"/>
    <w:rsid w:val="6E275496"/>
    <w:rsid w:val="6E2B0BE2"/>
    <w:rsid w:val="6E34753E"/>
    <w:rsid w:val="6E602011"/>
    <w:rsid w:val="6EAB5982"/>
    <w:rsid w:val="6EAB7C30"/>
    <w:rsid w:val="6F1E7F02"/>
    <w:rsid w:val="6F3F0FFE"/>
    <w:rsid w:val="6F4E0D65"/>
    <w:rsid w:val="6F5E23A8"/>
    <w:rsid w:val="6F6B7429"/>
    <w:rsid w:val="6F8A2574"/>
    <w:rsid w:val="70091DE5"/>
    <w:rsid w:val="7019691C"/>
    <w:rsid w:val="706F478E"/>
    <w:rsid w:val="70DD3DED"/>
    <w:rsid w:val="71134414"/>
    <w:rsid w:val="71662FA8"/>
    <w:rsid w:val="71A768D5"/>
    <w:rsid w:val="71F81A9F"/>
    <w:rsid w:val="72E8690B"/>
    <w:rsid w:val="7315161C"/>
    <w:rsid w:val="73697146"/>
    <w:rsid w:val="73BC418E"/>
    <w:rsid w:val="73E839E9"/>
    <w:rsid w:val="7496678D"/>
    <w:rsid w:val="749A6784"/>
    <w:rsid w:val="74B44E65"/>
    <w:rsid w:val="74E41BEE"/>
    <w:rsid w:val="75524AB9"/>
    <w:rsid w:val="75731C95"/>
    <w:rsid w:val="7591106A"/>
    <w:rsid w:val="76147C2D"/>
    <w:rsid w:val="76351A21"/>
    <w:rsid w:val="76377AFB"/>
    <w:rsid w:val="76477B2E"/>
    <w:rsid w:val="76B8141B"/>
    <w:rsid w:val="76EA3E04"/>
    <w:rsid w:val="77BC0E3C"/>
    <w:rsid w:val="782347DB"/>
    <w:rsid w:val="782935FB"/>
    <w:rsid w:val="78517B6B"/>
    <w:rsid w:val="789456D9"/>
    <w:rsid w:val="78B31BEE"/>
    <w:rsid w:val="79295E21"/>
    <w:rsid w:val="793D3A1E"/>
    <w:rsid w:val="79401621"/>
    <w:rsid w:val="79C8388C"/>
    <w:rsid w:val="79F56919"/>
    <w:rsid w:val="7A117F06"/>
    <w:rsid w:val="7A6E451B"/>
    <w:rsid w:val="7AC611EE"/>
    <w:rsid w:val="7AE45141"/>
    <w:rsid w:val="7BC520EE"/>
    <w:rsid w:val="7BF41733"/>
    <w:rsid w:val="7BF6575B"/>
    <w:rsid w:val="7C103E9B"/>
    <w:rsid w:val="7C835849"/>
    <w:rsid w:val="7CA5565E"/>
    <w:rsid w:val="7D0F7947"/>
    <w:rsid w:val="7D20753B"/>
    <w:rsid w:val="7D670E28"/>
    <w:rsid w:val="7DAA194E"/>
    <w:rsid w:val="7E026C41"/>
    <w:rsid w:val="7E0714B7"/>
    <w:rsid w:val="7E190142"/>
    <w:rsid w:val="7E3603C4"/>
    <w:rsid w:val="7E4F632A"/>
    <w:rsid w:val="7F302548"/>
    <w:rsid w:val="7F3B065C"/>
    <w:rsid w:val="7F5C2F21"/>
    <w:rsid w:val="7FA3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5">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sz w:val="28"/>
    </w:rPr>
  </w:style>
  <w:style w:type="paragraph" w:styleId="7">
    <w:name w:val="Body Text"/>
    <w:basedOn w:val="1"/>
    <w:semiHidden/>
    <w:qFormat/>
    <w:uiPriority w:val="0"/>
    <w:rPr>
      <w:rFonts w:ascii="Arial" w:hAnsi="Arial" w:eastAsia="Arial" w:cs="Arial"/>
      <w:sz w:val="21"/>
      <w:szCs w:val="21"/>
      <w:lang w:eastAsia="en-US"/>
    </w:rPr>
  </w:style>
  <w:style w:type="paragraph" w:styleId="8">
    <w:name w:val="Body Text Indent"/>
    <w:basedOn w:val="1"/>
    <w:autoRedefine/>
    <w:qFormat/>
    <w:uiPriority w:val="0"/>
    <w:pPr>
      <w:spacing w:line="560" w:lineRule="exact"/>
      <w:ind w:firstLine="640" w:firstLineChars="2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Subtitle"/>
    <w:basedOn w:val="1"/>
    <w:next w:val="1"/>
    <w:link w:val="23"/>
    <w:qFormat/>
    <w:uiPriority w:val="0"/>
    <w:pPr>
      <w:spacing w:before="240" w:after="60" w:line="312" w:lineRule="auto"/>
      <w:jc w:val="center"/>
      <w:outlineLvl w:val="1"/>
    </w:pPr>
    <w:rPr>
      <w:rFonts w:eastAsia="宋体" w:asciiTheme="majorHAnsi" w:hAnsiTheme="majorHAnsi" w:cstheme="majorBidi"/>
      <w:b/>
      <w:bCs/>
      <w:kern w:val="28"/>
      <w:szCs w:val="32"/>
    </w:rPr>
  </w:style>
  <w:style w:type="paragraph" w:styleId="12">
    <w:name w:val="Normal (Web)"/>
    <w:basedOn w:val="1"/>
    <w:qFormat/>
    <w:uiPriority w:val="0"/>
    <w:rPr>
      <w:sz w:val="24"/>
    </w:rPr>
  </w:style>
  <w:style w:type="table" w:styleId="14">
    <w:name w:val="Table Grid"/>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paragraph" w:customStyle="1" w:styleId="17">
    <w:name w:val="样式1"/>
    <w:basedOn w:val="9"/>
    <w:autoRedefine/>
    <w:qFormat/>
    <w:uiPriority w:val="0"/>
    <w:rPr>
      <w:rFonts w:ascii="Noto Sans CJK JP Regular" w:hAnsi="Noto Sans CJK JP Regular" w:eastAsia="宋体" w:cs="Noto Sans CJK JP Regular"/>
      <w:lang w:eastAsia="en-US"/>
    </w:rPr>
  </w:style>
  <w:style w:type="paragraph" w:customStyle="1" w:styleId="18">
    <w:name w:val="常规正文格式"/>
    <w:basedOn w:val="1"/>
    <w:autoRedefine/>
    <w:qFormat/>
    <w:uiPriority w:val="0"/>
    <w:pPr>
      <w:widowControl/>
      <w:ind w:firstLine="640" w:firstLineChars="200"/>
    </w:pPr>
    <w:rPr>
      <w:bCs/>
      <w:color w:val="000000"/>
      <w:kern w:val="0"/>
      <w:szCs w:val="32"/>
    </w:rPr>
  </w:style>
  <w:style w:type="paragraph" w:customStyle="1" w:styleId="19">
    <w:name w:val="学生论文正文格式"/>
    <w:basedOn w:val="1"/>
    <w:autoRedefine/>
    <w:qFormat/>
    <w:uiPriority w:val="0"/>
    <w:pPr>
      <w:ind w:firstLine="480" w:firstLineChars="200"/>
    </w:pPr>
    <w:rPr>
      <w:rFonts w:hint="eastAsia" w:eastAsia="宋体"/>
      <w:sz w:val="24"/>
    </w:rPr>
  </w:style>
  <w:style w:type="paragraph" w:customStyle="1" w:styleId="20">
    <w:name w:val="二级标题"/>
    <w:basedOn w:val="3"/>
    <w:qFormat/>
    <w:uiPriority w:val="0"/>
    <w:pPr>
      <w:contextualSpacing/>
      <w:jc w:val="left"/>
    </w:pPr>
    <w:rPr>
      <w:rFonts w:ascii="宋体" w:hAnsi="宋体"/>
    </w:rPr>
  </w:style>
  <w:style w:type="paragraph" w:customStyle="1" w:styleId="21">
    <w:name w:val="Table Text"/>
    <w:basedOn w:val="1"/>
    <w:autoRedefine/>
    <w:semiHidden/>
    <w:qFormat/>
    <w:uiPriority w:val="0"/>
    <w:rPr>
      <w:rFonts w:ascii="仿宋" w:hAnsi="仿宋" w:eastAsia="仿宋" w:cs="仿宋"/>
      <w:sz w:val="20"/>
      <w:szCs w:val="20"/>
      <w:lang w:eastAsia="en-US"/>
    </w:rPr>
  </w:style>
  <w:style w:type="paragraph" w:styleId="22">
    <w:name w:val="List Paragraph"/>
    <w:basedOn w:val="1"/>
    <w:unhideWhenUsed/>
    <w:qFormat/>
    <w:uiPriority w:val="99"/>
    <w:pPr>
      <w:ind w:firstLine="420" w:firstLineChars="200"/>
    </w:pPr>
  </w:style>
  <w:style w:type="character" w:customStyle="1" w:styleId="23">
    <w:name w:val="副标题 Char"/>
    <w:basedOn w:val="15"/>
    <w:link w:val="11"/>
    <w:qFormat/>
    <w:uiPriority w:val="0"/>
    <w:rPr>
      <w:rFonts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B73D1-BC16-45BE-A0AE-42CB83F6DBF2}">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47</Pages>
  <Words>8463</Words>
  <Characters>8637</Characters>
  <Lines>151</Lines>
  <Paragraphs>42</Paragraphs>
  <TotalTime>3</TotalTime>
  <ScaleCrop>false</ScaleCrop>
  <LinksUpToDate>false</LinksUpToDate>
  <CharactersWithSpaces>8733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cp:lastPrinted>2025-06-30T02:18:00Z</cp:lastPrinted>
  <dcterms:modified xsi:type="dcterms:W3CDTF">2025-11-30T10:07:09Z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C0C337F74C8048A0A174B9EB3F4D0561_13</vt:lpwstr>
  </property>
  <property fmtid="{D5CDD505-2E9C-101B-9397-08002B2CF9AE}" pid="4" name="KSOTemplateDocerSaveRecord">
    <vt:lpwstr>eyJoZGlkIjoiOWVjMzk0NDQzOGQ3NzRkZTU4NmU2ZjFiYmFmZmVkYzEiLCJ1c2VySWQiOiIzMjg3Njk0NDQifQ==</vt:lpwstr>
  </property>
</Properties>
</file>